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54F" w:rsidRDefault="006F3792">
      <w:pPr>
        <w:pStyle w:val="Ttulo1"/>
        <w:spacing w:before="0" w:after="0"/>
        <w:ind w:hanging="142"/>
        <w:jc w:val="center"/>
      </w:pPr>
      <w:r>
        <w:rPr>
          <w:b w:val="0"/>
          <w:sz w:val="20"/>
          <w:szCs w:val="20"/>
        </w:rPr>
        <w:t xml:space="preserve">                                     </w:t>
      </w:r>
      <w:r w:rsidR="001E70CC">
        <w:rPr>
          <w:b w:val="0"/>
          <w:sz w:val="20"/>
          <w:szCs w:val="20"/>
        </w:rPr>
        <w:t xml:space="preserve">                       </w:t>
      </w:r>
      <w:r w:rsidR="003129F1">
        <w:rPr>
          <w:b w:val="0"/>
          <w:sz w:val="20"/>
          <w:szCs w:val="20"/>
        </w:rPr>
        <w:t xml:space="preserve">       </w:t>
      </w:r>
      <w:r w:rsidR="000E5917">
        <w:rPr>
          <w:b w:val="0"/>
          <w:sz w:val="20"/>
          <w:szCs w:val="20"/>
        </w:rPr>
        <w:t xml:space="preserve">    </w:t>
      </w:r>
      <w:r w:rsidR="00414085">
        <w:rPr>
          <w:b w:val="0"/>
          <w:sz w:val="20"/>
          <w:szCs w:val="20"/>
        </w:rPr>
        <w:t>ART</w:t>
      </w:r>
      <w:r w:rsidR="00165B8A">
        <w:rPr>
          <w:b w:val="0"/>
          <w:sz w:val="20"/>
          <w:szCs w:val="20"/>
        </w:rPr>
        <w:t>Í</w:t>
      </w:r>
      <w:r w:rsidR="00414085">
        <w:rPr>
          <w:b w:val="0"/>
          <w:sz w:val="20"/>
          <w:szCs w:val="20"/>
        </w:rPr>
        <w:t xml:space="preserve">CULO ORIGINAL </w:t>
      </w:r>
      <w:r w:rsidR="00363855">
        <w:rPr>
          <w:b w:val="0"/>
          <w:sz w:val="20"/>
          <w:szCs w:val="20"/>
        </w:rPr>
        <w:t xml:space="preserve">Rev. </w:t>
      </w:r>
      <w:proofErr w:type="spellStart"/>
      <w:r w:rsidR="00363855">
        <w:rPr>
          <w:b w:val="0"/>
          <w:sz w:val="20"/>
          <w:szCs w:val="20"/>
        </w:rPr>
        <w:t>Methodo</w:t>
      </w:r>
      <w:proofErr w:type="spellEnd"/>
      <w:r w:rsidR="003129F1">
        <w:rPr>
          <w:b w:val="0"/>
          <w:sz w:val="18"/>
          <w:szCs w:val="18"/>
        </w:rPr>
        <w:t xml:space="preserve"> 202</w:t>
      </w:r>
      <w:r w:rsidR="00F7189F">
        <w:rPr>
          <w:b w:val="0"/>
          <w:sz w:val="18"/>
          <w:szCs w:val="18"/>
        </w:rPr>
        <w:t>4</w:t>
      </w:r>
      <w:r w:rsidR="003129F1">
        <w:rPr>
          <w:b w:val="0"/>
          <w:sz w:val="18"/>
          <w:szCs w:val="18"/>
        </w:rPr>
        <w:t>;</w:t>
      </w:r>
      <w:r w:rsidR="00F7189F">
        <w:rPr>
          <w:b w:val="0"/>
          <w:sz w:val="18"/>
          <w:szCs w:val="18"/>
        </w:rPr>
        <w:t>9</w:t>
      </w:r>
      <w:r w:rsidR="003129F1">
        <w:rPr>
          <w:b w:val="0"/>
          <w:sz w:val="18"/>
          <w:szCs w:val="18"/>
        </w:rPr>
        <w:t>(</w:t>
      </w:r>
      <w:r w:rsidR="001C26A5">
        <w:rPr>
          <w:b w:val="0"/>
          <w:sz w:val="18"/>
          <w:szCs w:val="18"/>
        </w:rPr>
        <w:t>3</w:t>
      </w:r>
      <w:r w:rsidR="003129F1">
        <w:rPr>
          <w:b w:val="0"/>
          <w:sz w:val="18"/>
          <w:szCs w:val="18"/>
        </w:rPr>
        <w:t>):</w:t>
      </w:r>
      <w:r w:rsidR="00F442A2">
        <w:rPr>
          <w:b w:val="0"/>
          <w:sz w:val="18"/>
          <w:szCs w:val="18"/>
        </w:rPr>
        <w:t>17-</w:t>
      </w:r>
      <w:r w:rsidR="00C6262A">
        <w:rPr>
          <w:b w:val="0"/>
          <w:sz w:val="18"/>
          <w:szCs w:val="18"/>
        </w:rPr>
        <w:t>23</w:t>
      </w:r>
    </w:p>
    <w:p w:rsidR="008C354F" w:rsidRPr="007A101C" w:rsidRDefault="006F3792">
      <w:pPr>
        <w:pStyle w:val="Ttulo1"/>
        <w:spacing w:before="0" w:after="0"/>
        <w:ind w:hanging="142"/>
        <w:jc w:val="center"/>
        <w:rPr>
          <w:rFonts w:ascii="Verdana" w:eastAsia="Verdana" w:hAnsi="Verdana" w:cs="Verdana"/>
          <w:b w:val="0"/>
          <w:sz w:val="16"/>
          <w:szCs w:val="16"/>
          <w:highlight w:val="white"/>
        </w:rPr>
      </w:pPr>
      <w:r w:rsidRPr="00892091">
        <w:rPr>
          <w:rFonts w:ascii="Verdana" w:eastAsia="Verdana" w:hAnsi="Verdana" w:cs="Verdana"/>
          <w:b w:val="0"/>
          <w:sz w:val="17"/>
          <w:szCs w:val="17"/>
        </w:rPr>
        <w:t xml:space="preserve">                                                                              </w:t>
      </w:r>
      <w:r w:rsidR="002531BE" w:rsidRPr="00892091">
        <w:rPr>
          <w:rFonts w:ascii="Verdana" w:eastAsia="Verdana" w:hAnsi="Verdana" w:cs="Verdana"/>
          <w:b w:val="0"/>
          <w:sz w:val="17"/>
          <w:szCs w:val="17"/>
        </w:rPr>
        <w:t xml:space="preserve">    </w:t>
      </w:r>
      <w:r w:rsidRPr="00892091">
        <w:rPr>
          <w:rFonts w:ascii="Verdana" w:eastAsia="Verdana" w:hAnsi="Verdana" w:cs="Verdana"/>
          <w:b w:val="0"/>
          <w:sz w:val="17"/>
          <w:szCs w:val="17"/>
        </w:rPr>
        <w:t xml:space="preserve"> </w:t>
      </w:r>
      <w:r w:rsidR="002531BE" w:rsidRPr="00892091">
        <w:rPr>
          <w:rFonts w:ascii="Verdana" w:eastAsia="Verdana" w:hAnsi="Verdana" w:cs="Verdana"/>
          <w:b w:val="0"/>
          <w:sz w:val="17"/>
          <w:szCs w:val="17"/>
        </w:rPr>
        <w:t xml:space="preserve"> </w:t>
      </w:r>
      <w:hyperlink r:id="rId9" w:history="1">
        <w:r w:rsidR="00892091" w:rsidRPr="007A101C">
          <w:rPr>
            <w:rStyle w:val="Hipervnculo"/>
            <w:rFonts w:ascii="Verdana" w:eastAsia="Verdana" w:hAnsi="Verdana" w:cs="Verdana"/>
            <w:b w:val="0"/>
            <w:color w:val="auto"/>
            <w:sz w:val="17"/>
            <w:szCs w:val="17"/>
          </w:rPr>
          <w:t>https://doi.org/10.22529/me.2024.9</w:t>
        </w:r>
        <w:r w:rsidR="00892091" w:rsidRPr="007A101C">
          <w:rPr>
            <w:rStyle w:val="Hipervnculo"/>
            <w:rFonts w:ascii="Verdana" w:eastAsia="Verdana" w:hAnsi="Verdana" w:cs="Verdana"/>
            <w:b w:val="0"/>
            <w:color w:val="auto"/>
            <w:sz w:val="16"/>
            <w:szCs w:val="16"/>
            <w:highlight w:val="white"/>
          </w:rPr>
          <w:t>(3)</w:t>
        </w:r>
        <w:r w:rsidR="00F442A2" w:rsidRPr="007A101C">
          <w:rPr>
            <w:rStyle w:val="Hipervnculo"/>
            <w:rFonts w:ascii="Verdana" w:eastAsia="Verdana" w:hAnsi="Verdana" w:cs="Verdana"/>
            <w:b w:val="0"/>
            <w:color w:val="auto"/>
            <w:sz w:val="16"/>
            <w:szCs w:val="16"/>
            <w:highlight w:val="white"/>
          </w:rPr>
          <w:t>04</w:t>
        </w:r>
      </w:hyperlink>
    </w:p>
    <w:tbl>
      <w:tblPr>
        <w:tblStyle w:val="7"/>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8C354F" w:rsidTr="006F3792">
        <w:trPr>
          <w:trHeight w:val="332"/>
        </w:trPr>
        <w:tc>
          <w:tcPr>
            <w:tcW w:w="5396" w:type="dxa"/>
            <w:vAlign w:val="center"/>
          </w:tcPr>
          <w:p w:rsidR="008C354F" w:rsidRDefault="000E5917" w:rsidP="003129F1">
            <w:pPr>
              <w:spacing w:line="360" w:lineRule="auto"/>
              <w:rPr>
                <w:rFonts w:ascii="Arial" w:eastAsia="Arial" w:hAnsi="Arial" w:cs="Arial"/>
                <w:sz w:val="16"/>
                <w:szCs w:val="16"/>
              </w:rPr>
            </w:pPr>
            <w:r>
              <w:rPr>
                <w:rFonts w:ascii="Arial" w:eastAsia="Arial" w:hAnsi="Arial" w:cs="Arial"/>
                <w:sz w:val="16"/>
                <w:szCs w:val="16"/>
              </w:rPr>
              <w:t xml:space="preserve">  </w:t>
            </w:r>
            <w:r w:rsidR="00C6262A">
              <w:rPr>
                <w:rFonts w:ascii="Arial" w:eastAsia="Arial" w:hAnsi="Arial" w:cs="Arial"/>
                <w:sz w:val="16"/>
                <w:szCs w:val="16"/>
              </w:rPr>
              <w:t xml:space="preserve"> </w:t>
            </w:r>
            <w:r w:rsidR="00C37778">
              <w:rPr>
                <w:rFonts w:ascii="Arial" w:eastAsia="Arial" w:hAnsi="Arial" w:cs="Arial"/>
                <w:sz w:val="16"/>
                <w:szCs w:val="16"/>
              </w:rPr>
              <w:t xml:space="preserve">Recibido </w:t>
            </w:r>
            <w:r w:rsidR="00C6262A">
              <w:rPr>
                <w:rFonts w:ascii="Arial" w:eastAsia="Arial" w:hAnsi="Arial" w:cs="Arial"/>
                <w:sz w:val="16"/>
                <w:szCs w:val="16"/>
              </w:rPr>
              <w:t>03 Abr</w:t>
            </w:r>
            <w:r w:rsidR="008E3E85">
              <w:rPr>
                <w:rFonts w:ascii="Arial" w:eastAsia="Arial" w:hAnsi="Arial" w:cs="Arial"/>
                <w:sz w:val="16"/>
                <w:szCs w:val="16"/>
              </w:rPr>
              <w:t>.</w:t>
            </w:r>
            <w:r>
              <w:rPr>
                <w:rFonts w:ascii="Arial" w:eastAsia="Arial" w:hAnsi="Arial" w:cs="Arial"/>
                <w:sz w:val="16"/>
                <w:szCs w:val="16"/>
              </w:rPr>
              <w:t xml:space="preserve"> </w:t>
            </w:r>
            <w:r w:rsidR="00C37778">
              <w:rPr>
                <w:rFonts w:ascii="Arial" w:eastAsia="Arial" w:hAnsi="Arial" w:cs="Arial"/>
                <w:sz w:val="16"/>
                <w:szCs w:val="16"/>
              </w:rPr>
              <w:t>202</w:t>
            </w:r>
            <w:r w:rsidR="00153B26">
              <w:rPr>
                <w:rFonts w:ascii="Arial" w:eastAsia="Arial" w:hAnsi="Arial" w:cs="Arial"/>
                <w:sz w:val="16"/>
                <w:szCs w:val="16"/>
              </w:rPr>
              <w:t>4</w:t>
            </w:r>
            <w:r w:rsidR="00837C9B">
              <w:rPr>
                <w:rFonts w:ascii="Arial" w:eastAsia="Arial" w:hAnsi="Arial" w:cs="Arial"/>
                <w:sz w:val="16"/>
                <w:szCs w:val="16"/>
              </w:rPr>
              <w:t xml:space="preserve"> | Aceptad</w:t>
            </w:r>
            <w:r w:rsidR="00021B3A">
              <w:rPr>
                <w:rFonts w:ascii="Arial" w:eastAsia="Arial" w:hAnsi="Arial" w:cs="Arial"/>
                <w:sz w:val="16"/>
                <w:szCs w:val="16"/>
              </w:rPr>
              <w:t xml:space="preserve">o </w:t>
            </w:r>
            <w:r w:rsidR="007A101C">
              <w:rPr>
                <w:rFonts w:ascii="Arial" w:eastAsia="Arial" w:hAnsi="Arial" w:cs="Arial"/>
                <w:sz w:val="16"/>
                <w:szCs w:val="16"/>
              </w:rPr>
              <w:t>06 May.</w:t>
            </w:r>
            <w:r w:rsidR="009F6872">
              <w:rPr>
                <w:rFonts w:ascii="Arial" w:eastAsia="Arial" w:hAnsi="Arial" w:cs="Arial"/>
                <w:sz w:val="16"/>
                <w:szCs w:val="16"/>
              </w:rPr>
              <w:t xml:space="preserve"> 202</w:t>
            </w:r>
            <w:r w:rsidR="00153B26">
              <w:rPr>
                <w:rFonts w:ascii="Arial" w:eastAsia="Arial" w:hAnsi="Arial" w:cs="Arial"/>
                <w:sz w:val="16"/>
                <w:szCs w:val="16"/>
              </w:rPr>
              <w:t>4</w:t>
            </w:r>
            <w:r w:rsidR="003129F1">
              <w:rPr>
                <w:rFonts w:ascii="Arial" w:eastAsia="Arial" w:hAnsi="Arial" w:cs="Arial"/>
                <w:sz w:val="16"/>
                <w:szCs w:val="16"/>
              </w:rPr>
              <w:t xml:space="preserve"> |Publicado </w:t>
            </w:r>
            <w:r w:rsidR="00C6262A">
              <w:rPr>
                <w:rFonts w:ascii="Arial" w:eastAsia="Arial" w:hAnsi="Arial" w:cs="Arial"/>
                <w:sz w:val="16"/>
                <w:szCs w:val="16"/>
              </w:rPr>
              <w:t xml:space="preserve">10 </w:t>
            </w:r>
            <w:proofErr w:type="gramStart"/>
            <w:r w:rsidR="00153B26">
              <w:rPr>
                <w:rFonts w:ascii="Arial" w:eastAsia="Arial" w:hAnsi="Arial" w:cs="Arial"/>
                <w:sz w:val="16"/>
                <w:szCs w:val="16"/>
              </w:rPr>
              <w:t>Jul.</w:t>
            </w:r>
            <w:proofErr w:type="gramEnd"/>
            <w:r w:rsidR="00153B26">
              <w:rPr>
                <w:rFonts w:ascii="Arial" w:eastAsia="Arial" w:hAnsi="Arial" w:cs="Arial"/>
                <w:sz w:val="16"/>
                <w:szCs w:val="16"/>
              </w:rPr>
              <w:t xml:space="preserve"> </w:t>
            </w:r>
            <w:r w:rsidR="003129F1">
              <w:rPr>
                <w:rFonts w:ascii="Arial" w:eastAsia="Arial" w:hAnsi="Arial" w:cs="Arial"/>
                <w:sz w:val="16"/>
                <w:szCs w:val="16"/>
              </w:rPr>
              <w:t>202</w:t>
            </w:r>
            <w:r w:rsidR="00153B26">
              <w:rPr>
                <w:rFonts w:ascii="Arial" w:eastAsia="Arial" w:hAnsi="Arial" w:cs="Arial"/>
                <w:sz w:val="16"/>
                <w:szCs w:val="16"/>
              </w:rPr>
              <w:t>4</w:t>
            </w:r>
          </w:p>
        </w:tc>
        <w:tc>
          <w:tcPr>
            <w:tcW w:w="3157" w:type="dxa"/>
            <w:shd w:val="clear" w:color="auto" w:fill="509D2F"/>
            <w:vAlign w:val="center"/>
          </w:tcPr>
          <w:p w:rsidR="008C354F" w:rsidRDefault="008C354F">
            <w:pPr>
              <w:spacing w:line="360" w:lineRule="auto"/>
              <w:jc w:val="center"/>
              <w:rPr>
                <w:rFonts w:ascii="Arial" w:eastAsia="Arial" w:hAnsi="Arial" w:cs="Arial"/>
                <w:color w:val="509D2F"/>
                <w:sz w:val="16"/>
                <w:szCs w:val="16"/>
              </w:rPr>
            </w:pPr>
          </w:p>
        </w:tc>
      </w:tr>
    </w:tbl>
    <w:p w:rsidR="008C354F" w:rsidRDefault="008C354F">
      <w:pPr>
        <w:sectPr w:rsidR="008C354F">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0" w:name="_heading=h.30j0zll" w:colFirst="0" w:colLast="0"/>
      <w:bookmarkEnd w:id="0"/>
    </w:p>
    <w:p w:rsidR="001C26A5" w:rsidRDefault="001C26A5" w:rsidP="00665ECC">
      <w:pPr>
        <w:pStyle w:val="TituloDocumento"/>
      </w:pPr>
      <w:bookmarkStart w:id="1" w:name="OLE_LINK1"/>
      <w:r w:rsidRPr="001C26A5">
        <w:t>Exactitud diagnóstica de IgG anti gliadina deaminada en enfermedad celíaca</w:t>
      </w:r>
    </w:p>
    <w:bookmarkEnd w:id="1"/>
    <w:p w:rsidR="001C26A5" w:rsidRPr="00665ECC" w:rsidRDefault="001C26A5" w:rsidP="00665ECC">
      <w:pPr>
        <w:pStyle w:val="TituloDocumento"/>
        <w:spacing w:before="0" w:after="0"/>
        <w:rPr>
          <w:lang w:val="en-US"/>
        </w:rPr>
      </w:pPr>
      <w:r w:rsidRPr="00665ECC">
        <w:rPr>
          <w:lang w:val="en-US"/>
        </w:rPr>
        <w:t xml:space="preserve">Accuracy for deamidated gliadin IgG for the diagnosis of celiac disease </w:t>
      </w:r>
    </w:p>
    <w:p w:rsidR="008C354F" w:rsidRPr="00335630" w:rsidRDefault="00335630" w:rsidP="00665ECC">
      <w:pPr>
        <w:pBdr>
          <w:top w:val="nil"/>
          <w:left w:val="nil"/>
          <w:bottom w:val="nil"/>
          <w:right w:val="nil"/>
          <w:between w:val="nil"/>
        </w:pBdr>
        <w:jc w:val="left"/>
      </w:pPr>
      <w:r w:rsidRPr="00E94AA0">
        <w:t>Agustina Bonamico</w:t>
      </w:r>
      <w:r w:rsidR="001604FE" w:rsidRPr="00E94AA0">
        <w:rPr>
          <w:vertAlign w:val="superscript"/>
        </w:rPr>
        <w:t>1</w:t>
      </w:r>
      <w:r w:rsidR="007B7606">
        <w:rPr>
          <w:noProof/>
          <w:lang w:val="es-AR" w:eastAsia="es-AR"/>
        </w:rPr>
        <w:drawing>
          <wp:inline distT="0" distB="0" distL="0" distR="0" wp14:anchorId="142D5E37" wp14:editId="2B842385">
            <wp:extent cx="247015" cy="190874"/>
            <wp:effectExtent l="0" t="0" r="635" b="0"/>
            <wp:docPr id="1063"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63" name="image2.png">
                      <a:hlinkClick r:id="rId15"/>
                    </pic:cNvPr>
                    <pic:cNvPicPr preferRelativeResize="0"/>
                  </pic:nvPicPr>
                  <pic:blipFill>
                    <a:blip r:embed="rId16"/>
                    <a:srcRect/>
                    <a:stretch>
                      <a:fillRect/>
                    </a:stretch>
                  </pic:blipFill>
                  <pic:spPr>
                    <a:xfrm>
                      <a:off x="0" y="0"/>
                      <a:ext cx="255940" cy="197771"/>
                    </a:xfrm>
                    <a:prstGeom prst="rect">
                      <a:avLst/>
                    </a:prstGeom>
                    <a:ln/>
                  </pic:spPr>
                </pic:pic>
              </a:graphicData>
            </a:graphic>
          </wp:inline>
        </w:drawing>
      </w:r>
      <w:r w:rsidR="007B7606" w:rsidRPr="007B7606">
        <w:t xml:space="preserve"> </w:t>
      </w:r>
      <w:r w:rsidRPr="00335630">
        <w:t>Elda</w:t>
      </w:r>
      <w:r>
        <w:t xml:space="preserve"> </w:t>
      </w:r>
      <w:r w:rsidRPr="00335630">
        <w:t>Córdoba</w:t>
      </w:r>
      <w:r w:rsidRPr="00335630">
        <w:rPr>
          <w:vertAlign w:val="superscript"/>
        </w:rPr>
        <w:t>2</w:t>
      </w:r>
      <w:r w:rsidR="007B7606" w:rsidRPr="007B7606">
        <w:t xml:space="preserve">, </w:t>
      </w:r>
      <w:r w:rsidRPr="00335630">
        <w:t>Vanina Marini</w:t>
      </w:r>
      <w:r w:rsidRPr="00335630">
        <w:rPr>
          <w:vertAlign w:val="superscript"/>
        </w:rPr>
        <w:t>1,2</w:t>
      </w:r>
      <w:r w:rsidR="007B7606" w:rsidRPr="007B7606">
        <w:t xml:space="preserve">, </w:t>
      </w:r>
      <w:r w:rsidRPr="00335630">
        <w:t>Juan José</w:t>
      </w:r>
      <w:r>
        <w:t xml:space="preserve"> </w:t>
      </w:r>
      <w:r w:rsidRPr="00335630">
        <w:t>Traka</w:t>
      </w:r>
      <w:r>
        <w:t>l</w:t>
      </w:r>
      <w:r w:rsidRPr="00335630">
        <w:rPr>
          <w:vertAlign w:val="superscript"/>
        </w:rPr>
        <w:t>1</w:t>
      </w:r>
    </w:p>
    <w:p w:rsidR="007B7606" w:rsidRDefault="007B7606">
      <w:pPr>
        <w:pBdr>
          <w:top w:val="nil"/>
          <w:left w:val="nil"/>
          <w:bottom w:val="nil"/>
          <w:right w:val="nil"/>
          <w:between w:val="nil"/>
        </w:pBdr>
        <w:jc w:val="left"/>
        <w:rPr>
          <w:highlight w:val="white"/>
        </w:rPr>
      </w:pPr>
    </w:p>
    <w:p w:rsidR="000424A7" w:rsidRDefault="007B7606" w:rsidP="007B7606">
      <w:pPr>
        <w:rPr>
          <w:vertAlign w:val="superscript"/>
        </w:rPr>
      </w:pPr>
      <w:r w:rsidRPr="007B7606">
        <w:rPr>
          <w:vertAlign w:val="superscript"/>
        </w:rPr>
        <w:t>1. Clínica Universitaria Reina Fabiola</w:t>
      </w:r>
      <w:r w:rsidR="00F442A2">
        <w:rPr>
          <w:vertAlign w:val="superscript"/>
        </w:rPr>
        <w:t xml:space="preserve"> </w:t>
      </w:r>
    </w:p>
    <w:p w:rsidR="007B7606" w:rsidRDefault="007B7606" w:rsidP="007B7606">
      <w:pPr>
        <w:rPr>
          <w:vertAlign w:val="superscript"/>
        </w:rPr>
      </w:pPr>
      <w:r w:rsidRPr="007B7606">
        <w:rPr>
          <w:vertAlign w:val="superscript"/>
        </w:rPr>
        <w:t xml:space="preserve">2. </w:t>
      </w:r>
      <w:r w:rsidR="00E94AA0">
        <w:rPr>
          <w:vertAlign w:val="superscript"/>
        </w:rPr>
        <w:t xml:space="preserve">Nueva </w:t>
      </w:r>
      <w:r w:rsidR="00535B3F" w:rsidRPr="00535B3F">
        <w:rPr>
          <w:vertAlign w:val="superscript"/>
        </w:rPr>
        <w:t>Maternidad Provincial "Brigadier General Juan Bautista Bustos"</w:t>
      </w:r>
    </w:p>
    <w:p w:rsidR="007B7606" w:rsidRDefault="00C8509B" w:rsidP="001119A6">
      <w:pPr>
        <w:rPr>
          <w:rFonts w:eastAsia="Arial"/>
          <w:sz w:val="24"/>
        </w:rPr>
      </w:pPr>
      <w:r>
        <w:rPr>
          <w:vertAlign w:val="superscript"/>
        </w:rPr>
        <w:t xml:space="preserve">Correspondencia: </w:t>
      </w:r>
      <w:r w:rsidR="009E5B35" w:rsidRPr="009E5B35">
        <w:rPr>
          <w:vertAlign w:val="superscript"/>
        </w:rPr>
        <w:t xml:space="preserve">Vanina </w:t>
      </w:r>
      <w:r w:rsidR="009E5B35">
        <w:rPr>
          <w:vertAlign w:val="superscript"/>
        </w:rPr>
        <w:t>Marini</w:t>
      </w:r>
      <w:r>
        <w:rPr>
          <w:vertAlign w:val="superscript"/>
        </w:rPr>
        <w:t xml:space="preserve"> Email: </w:t>
      </w:r>
      <w:r w:rsidR="009E5B35" w:rsidRPr="009E5B35">
        <w:rPr>
          <w:vertAlign w:val="superscript"/>
        </w:rPr>
        <w:t>9503368@ucc.edu.ar</w:t>
      </w:r>
    </w:p>
    <w:p w:rsidR="007B7606" w:rsidRPr="007B7606" w:rsidRDefault="00837C9B" w:rsidP="001119A6">
      <w:pPr>
        <w:pStyle w:val="Ttulo1"/>
        <w:rPr>
          <w:b w:val="0"/>
        </w:rPr>
      </w:pPr>
      <w:r>
        <w:rPr>
          <w:rFonts w:eastAsia="Arial"/>
        </w:rPr>
        <w:t>Resumen</w:t>
      </w:r>
      <w:r>
        <w:rPr>
          <w:rFonts w:eastAsia="Arial" w:cs="Arial"/>
        </w:rPr>
        <w:tab/>
      </w:r>
    </w:p>
    <w:p w:rsidR="007B7606" w:rsidRPr="007B7606" w:rsidRDefault="001C1808" w:rsidP="007B7606">
      <w:pPr>
        <w:rPr>
          <w:szCs w:val="20"/>
        </w:rPr>
      </w:pPr>
      <w:r>
        <w:rPr>
          <w:szCs w:val="20"/>
        </w:rPr>
        <w:t>INTRODUCCCI</w:t>
      </w:r>
      <w:r w:rsidR="00165B8A">
        <w:rPr>
          <w:szCs w:val="20"/>
        </w:rPr>
        <w:t>Ó</w:t>
      </w:r>
      <w:r>
        <w:rPr>
          <w:szCs w:val="20"/>
        </w:rPr>
        <w:t>N</w:t>
      </w:r>
      <w:r w:rsidR="007B7606" w:rsidRPr="007B7606">
        <w:rPr>
          <w:szCs w:val="20"/>
        </w:rPr>
        <w:t xml:space="preserve">: </w:t>
      </w:r>
      <w:r w:rsidR="00892091" w:rsidRPr="00892091">
        <w:rPr>
          <w:szCs w:val="20"/>
        </w:rPr>
        <w:t xml:space="preserve">La enfermedad celíaca (EC) es un trastorno autoinmune frecuente. El diagnóstico serológico se basa principalmente en pruebas de anticuerpos IgA </w:t>
      </w:r>
      <w:proofErr w:type="spellStart"/>
      <w:r w:rsidR="00892091" w:rsidRPr="00892091">
        <w:rPr>
          <w:szCs w:val="20"/>
        </w:rPr>
        <w:t>antiendomisio</w:t>
      </w:r>
      <w:proofErr w:type="spellEnd"/>
      <w:r w:rsidR="00892091" w:rsidRPr="00892091">
        <w:rPr>
          <w:szCs w:val="20"/>
        </w:rPr>
        <w:t xml:space="preserve"> (IgA EMA), IgA </w:t>
      </w:r>
      <w:proofErr w:type="spellStart"/>
      <w:r w:rsidR="00892091" w:rsidRPr="00892091">
        <w:rPr>
          <w:szCs w:val="20"/>
        </w:rPr>
        <w:t>antitransglutaminasa</w:t>
      </w:r>
      <w:proofErr w:type="spellEnd"/>
      <w:r w:rsidR="00892091" w:rsidRPr="00892091">
        <w:rPr>
          <w:szCs w:val="20"/>
        </w:rPr>
        <w:t xml:space="preserve"> (IgA </w:t>
      </w:r>
      <w:proofErr w:type="spellStart"/>
      <w:r w:rsidR="00892091" w:rsidRPr="00892091">
        <w:rPr>
          <w:szCs w:val="20"/>
        </w:rPr>
        <w:t>anti-tTG</w:t>
      </w:r>
      <w:proofErr w:type="spellEnd"/>
      <w:r w:rsidR="00892091" w:rsidRPr="00892091">
        <w:rPr>
          <w:szCs w:val="20"/>
        </w:rPr>
        <w:t xml:space="preserve">) e IgG anti péptidos de gliadina deaminada (IgG DGP); ninguna con sensibilidad y especificidad del 100%, por lo que la biopsia intestinal, en nuestro país, sigue siendo considerada el </w:t>
      </w:r>
      <w:proofErr w:type="spellStart"/>
      <w:r w:rsidR="00892091" w:rsidRPr="00165B8A">
        <w:rPr>
          <w:i/>
          <w:szCs w:val="20"/>
        </w:rPr>
        <w:t>gold</w:t>
      </w:r>
      <w:proofErr w:type="spellEnd"/>
      <w:r w:rsidR="00892091" w:rsidRPr="00165B8A">
        <w:rPr>
          <w:i/>
          <w:szCs w:val="20"/>
        </w:rPr>
        <w:t xml:space="preserve"> standard </w:t>
      </w:r>
      <w:r w:rsidR="00892091" w:rsidRPr="00892091">
        <w:rPr>
          <w:szCs w:val="20"/>
        </w:rPr>
        <w:t>para el diagnóstico.</w:t>
      </w:r>
    </w:p>
    <w:p w:rsidR="00165B8A" w:rsidRDefault="007B7606" w:rsidP="007B7606">
      <w:pPr>
        <w:rPr>
          <w:szCs w:val="20"/>
        </w:rPr>
      </w:pPr>
      <w:r w:rsidRPr="007B7606">
        <w:rPr>
          <w:szCs w:val="20"/>
        </w:rPr>
        <w:t xml:space="preserve">OBJETIVOS: </w:t>
      </w:r>
      <w:r w:rsidR="00165B8A" w:rsidRPr="00165B8A">
        <w:rPr>
          <w:szCs w:val="20"/>
        </w:rPr>
        <w:t xml:space="preserve">Determinar la exactitud diagnóstica de la IgG DGP comparado con el resultado de la biopsia duodenal, y calcular el valor de corte óptimo de IgG DGP. </w:t>
      </w:r>
    </w:p>
    <w:p w:rsidR="007B7606" w:rsidRPr="007B7606" w:rsidRDefault="001C1808" w:rsidP="007B7606">
      <w:pPr>
        <w:rPr>
          <w:szCs w:val="20"/>
        </w:rPr>
      </w:pPr>
      <w:r>
        <w:rPr>
          <w:szCs w:val="20"/>
        </w:rPr>
        <w:t xml:space="preserve">MATERIALES </w:t>
      </w:r>
      <w:r w:rsidR="007B7606" w:rsidRPr="007B7606">
        <w:rPr>
          <w:szCs w:val="20"/>
        </w:rPr>
        <w:t xml:space="preserve">Y MÉTODOS: </w:t>
      </w:r>
      <w:r w:rsidR="00165B8A" w:rsidRPr="00165B8A">
        <w:rPr>
          <w:szCs w:val="20"/>
        </w:rPr>
        <w:t xml:space="preserve">Se realizó un estudio observacional, retrospectivo. Se incluyeron 251 pacientes mayores de 18 años atendidos en un Servicio de Gastroenterología, por sospecha de EC en el periodo de marzo de 2021 a diciembre de 2022, a los que se les solicitó IgA anti </w:t>
      </w:r>
      <w:proofErr w:type="spellStart"/>
      <w:r w:rsidR="00165B8A" w:rsidRPr="00165B8A">
        <w:rPr>
          <w:szCs w:val="20"/>
        </w:rPr>
        <w:t>tTG,IgG</w:t>
      </w:r>
      <w:proofErr w:type="spellEnd"/>
      <w:r w:rsidR="00165B8A" w:rsidRPr="00165B8A">
        <w:rPr>
          <w:szCs w:val="20"/>
        </w:rPr>
        <w:t xml:space="preserve"> DGP  y </w:t>
      </w:r>
      <w:proofErr w:type="spellStart"/>
      <w:r w:rsidR="00165B8A" w:rsidRPr="00165B8A">
        <w:rPr>
          <w:szCs w:val="20"/>
        </w:rPr>
        <w:t>videoendoscopia</w:t>
      </w:r>
      <w:proofErr w:type="spellEnd"/>
      <w:r w:rsidR="00165B8A" w:rsidRPr="00165B8A">
        <w:rPr>
          <w:szCs w:val="20"/>
        </w:rPr>
        <w:t xml:space="preserve"> digestiva alta. Se analizaron la sensibilidad y especificidad de la IgG DGP para el diagnóstico de EC. Mediante curvas ROC se calculó el valor de corte óptimo de la IgG DGP.</w:t>
      </w:r>
    </w:p>
    <w:p w:rsidR="007B7606" w:rsidRPr="007B7606" w:rsidRDefault="007B7606" w:rsidP="007B7606">
      <w:pPr>
        <w:rPr>
          <w:szCs w:val="20"/>
        </w:rPr>
      </w:pPr>
      <w:r w:rsidRPr="007B7606">
        <w:rPr>
          <w:szCs w:val="20"/>
        </w:rPr>
        <w:t xml:space="preserve">RESULTADOS: </w:t>
      </w:r>
      <w:r w:rsidR="00165B8A" w:rsidRPr="00165B8A">
        <w:rPr>
          <w:szCs w:val="20"/>
        </w:rPr>
        <w:t>Se determinó que el valor de corte óptimo fue de 25 UI/mL. El valor de sensibilidad y especificidad para este valor fueron 84,6% (IC: 66,5%- 93,9%) y 85,8% (IC: 80,6%-89,7%) respectivamente.</w:t>
      </w:r>
    </w:p>
    <w:p w:rsidR="007B7606" w:rsidRDefault="007B7606" w:rsidP="007B7606">
      <w:pPr>
        <w:rPr>
          <w:szCs w:val="20"/>
        </w:rPr>
      </w:pPr>
      <w:r w:rsidRPr="007B7606">
        <w:rPr>
          <w:szCs w:val="20"/>
        </w:rPr>
        <w:t xml:space="preserve">CONCLUSIÓN: </w:t>
      </w:r>
      <w:r w:rsidR="00165B8A" w:rsidRPr="00165B8A">
        <w:rPr>
          <w:szCs w:val="20"/>
        </w:rPr>
        <w:t>Elevar el valor de corte de 10 a 25 UI/mL mejoraría la exactitud diagnóstica de la IgG DGP; como así también disminuiría la realización de biopsias duodenales a causa de resultados falsos positivos de IgG DGP.</w:t>
      </w:r>
    </w:p>
    <w:p w:rsidR="00F53B35" w:rsidRDefault="00F53B35" w:rsidP="007B7606">
      <w:pPr>
        <w:rPr>
          <w:szCs w:val="20"/>
        </w:rPr>
      </w:pPr>
    </w:p>
    <w:p w:rsidR="00A544C4" w:rsidRPr="007B7606" w:rsidRDefault="00837C9B" w:rsidP="00A544C4">
      <w:pPr>
        <w:rPr>
          <w:rFonts w:eastAsia="Arial"/>
          <w:b/>
          <w:sz w:val="24"/>
          <w:lang w:val="es-AR"/>
        </w:rPr>
      </w:pPr>
      <w:r>
        <w:rPr>
          <w:rFonts w:ascii="Arial" w:eastAsia="Arial" w:hAnsi="Arial" w:cs="Arial"/>
          <w:b/>
          <w:sz w:val="24"/>
        </w:rPr>
        <w:t xml:space="preserve">Palabras </w:t>
      </w:r>
      <w:r w:rsidR="002A6296">
        <w:rPr>
          <w:rFonts w:ascii="Arial" w:eastAsia="Arial" w:hAnsi="Arial" w:cs="Arial"/>
          <w:b/>
          <w:sz w:val="24"/>
        </w:rPr>
        <w:t>claves</w:t>
      </w:r>
      <w:r w:rsidR="007B7606" w:rsidRPr="007B7606">
        <w:rPr>
          <w:rFonts w:ascii="Arial" w:eastAsia="Arial" w:hAnsi="Arial" w:cs="Arial"/>
          <w:sz w:val="24"/>
        </w:rPr>
        <w:t xml:space="preserve">: </w:t>
      </w:r>
      <w:r w:rsidR="00165B8A" w:rsidRPr="00165B8A">
        <w:rPr>
          <w:rFonts w:eastAsia="Arial"/>
          <w:szCs w:val="20"/>
        </w:rPr>
        <w:t>Enfermedad celíaca, gliadina deaminada, péptidos deaminados.</w:t>
      </w:r>
    </w:p>
    <w:p w:rsidR="007B7606" w:rsidRPr="00F53B35" w:rsidRDefault="007B7606">
      <w:pPr>
        <w:rPr>
          <w:rFonts w:ascii="Arial" w:eastAsia="Arial" w:hAnsi="Arial" w:cs="Arial"/>
          <w:b/>
          <w:sz w:val="24"/>
          <w:lang w:val="es-AR"/>
        </w:rPr>
      </w:pPr>
    </w:p>
    <w:p w:rsidR="008C354F" w:rsidRDefault="00837C9B">
      <w:pPr>
        <w:rPr>
          <w:rFonts w:ascii="Arial" w:eastAsia="Arial" w:hAnsi="Arial" w:cs="Arial"/>
          <w:b/>
          <w:sz w:val="24"/>
          <w:lang w:val="en-US"/>
        </w:rPr>
      </w:pPr>
      <w:r w:rsidRPr="00980429">
        <w:rPr>
          <w:rFonts w:ascii="Arial" w:eastAsia="Arial" w:hAnsi="Arial" w:cs="Arial"/>
          <w:b/>
          <w:sz w:val="24"/>
          <w:lang w:val="en-US"/>
        </w:rPr>
        <w:t>Abstract</w:t>
      </w:r>
    </w:p>
    <w:p w:rsidR="001119A6" w:rsidRPr="001C26A5" w:rsidRDefault="001119A6">
      <w:pPr>
        <w:rPr>
          <w:szCs w:val="20"/>
          <w:lang w:val="en-US"/>
        </w:rPr>
      </w:pPr>
    </w:p>
    <w:p w:rsidR="00430024" w:rsidRPr="001C26A5" w:rsidRDefault="001C1808" w:rsidP="007B7606">
      <w:pPr>
        <w:rPr>
          <w:szCs w:val="20"/>
          <w:lang w:val="en-US"/>
        </w:rPr>
      </w:pPr>
      <w:r w:rsidRPr="008F1458">
        <w:rPr>
          <w:szCs w:val="20"/>
          <w:lang w:val="en-US"/>
        </w:rPr>
        <w:t>INTRODUCTION</w:t>
      </w:r>
      <w:r w:rsidR="007B7606" w:rsidRPr="008F1458">
        <w:rPr>
          <w:szCs w:val="20"/>
          <w:lang w:val="en-US"/>
        </w:rPr>
        <w:t xml:space="preserve">: </w:t>
      </w:r>
      <w:r w:rsidR="00165B8A" w:rsidRPr="00165B8A">
        <w:rPr>
          <w:szCs w:val="20"/>
          <w:lang w:val="en-US"/>
        </w:rPr>
        <w:t>Celiac disease (CD) is a common autoimmune disorder. Serological diagnosis is based on anti-</w:t>
      </w:r>
      <w:proofErr w:type="spellStart"/>
      <w:r w:rsidR="00165B8A" w:rsidRPr="00165B8A">
        <w:rPr>
          <w:szCs w:val="20"/>
          <w:lang w:val="en-US"/>
        </w:rPr>
        <w:t>endomysial</w:t>
      </w:r>
      <w:proofErr w:type="spellEnd"/>
      <w:r w:rsidR="00165B8A" w:rsidRPr="00165B8A">
        <w:rPr>
          <w:szCs w:val="20"/>
          <w:lang w:val="en-US"/>
        </w:rPr>
        <w:t xml:space="preserve"> antibody (IgA EMA), IgA anti-transglutaminase (IgA anti-</w:t>
      </w:r>
      <w:proofErr w:type="spellStart"/>
      <w:r w:rsidR="00165B8A" w:rsidRPr="00165B8A">
        <w:rPr>
          <w:szCs w:val="20"/>
          <w:lang w:val="en-US"/>
        </w:rPr>
        <w:t>tTG</w:t>
      </w:r>
      <w:proofErr w:type="spellEnd"/>
      <w:r w:rsidR="00165B8A" w:rsidRPr="00165B8A">
        <w:rPr>
          <w:szCs w:val="20"/>
          <w:lang w:val="en-US"/>
        </w:rPr>
        <w:t xml:space="preserve">) and IgG gliadin deaminase (IgG </w:t>
      </w:r>
      <w:proofErr w:type="spellStart"/>
      <w:r w:rsidR="00165B8A" w:rsidRPr="00165B8A">
        <w:rPr>
          <w:szCs w:val="20"/>
          <w:lang w:val="en-US"/>
        </w:rPr>
        <w:t>GdP</w:t>
      </w:r>
      <w:proofErr w:type="spellEnd"/>
      <w:r w:rsidR="00165B8A" w:rsidRPr="00165B8A">
        <w:rPr>
          <w:szCs w:val="20"/>
          <w:lang w:val="en-US"/>
        </w:rPr>
        <w:t>) tests; none with 100% sensitivity and specificity, making intestinal biopsy the gold standard for diagnosis.</w:t>
      </w:r>
    </w:p>
    <w:p w:rsidR="00A82C0E" w:rsidRDefault="00430024" w:rsidP="007B7606">
      <w:pPr>
        <w:rPr>
          <w:lang w:val="en-US"/>
        </w:rPr>
      </w:pPr>
      <w:r>
        <w:rPr>
          <w:lang w:val="en-US"/>
        </w:rPr>
        <w:t>O</w:t>
      </w:r>
      <w:r w:rsidR="007B7606" w:rsidRPr="007B7606">
        <w:rPr>
          <w:lang w:val="en-US"/>
        </w:rPr>
        <w:t xml:space="preserve">BJECTIVES: </w:t>
      </w:r>
      <w:r w:rsidR="00A82C0E" w:rsidRPr="00A82C0E">
        <w:rPr>
          <w:lang w:val="en-US"/>
        </w:rPr>
        <w:t xml:space="preserve">to evaluate the diagnostic accuracy of anti DGP IgG compared to duodenal biopsy result and to calculate the optimal cut-off value for anti DGP IgG. </w:t>
      </w:r>
    </w:p>
    <w:p w:rsidR="00A82C0E" w:rsidRDefault="00165B8A" w:rsidP="007B7606">
      <w:pPr>
        <w:rPr>
          <w:lang w:val="en-US"/>
        </w:rPr>
      </w:pPr>
      <w:r>
        <w:rPr>
          <w:noProof/>
          <w:lang w:val="es-AR" w:eastAsia="es-AR"/>
        </w:rPr>
        <mc:AlternateContent>
          <mc:Choice Requires="wps">
            <w:drawing>
              <wp:anchor distT="0" distB="0" distL="114300" distR="114300" simplePos="0" relativeHeight="251748352" behindDoc="0" locked="0" layoutInCell="1" allowOverlap="1" wp14:anchorId="259C72CD" wp14:editId="7DECF963">
                <wp:simplePos x="0" y="0"/>
                <wp:positionH relativeFrom="rightMargin">
                  <wp:posOffset>114935</wp:posOffset>
                </wp:positionH>
                <wp:positionV relativeFrom="paragraph">
                  <wp:posOffset>638175</wp:posOffset>
                </wp:positionV>
                <wp:extent cx="425003" cy="379927"/>
                <wp:effectExtent l="0" t="0" r="13335" b="20320"/>
                <wp:wrapNone/>
                <wp:docPr id="2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8F1458" w:rsidRPr="00EB1E6E" w:rsidRDefault="00F442A2" w:rsidP="008F1458">
                            <w:pPr>
                              <w:jc w:val="center"/>
                              <w:textDirection w:val="btLr"/>
                              <w:rPr>
                                <w:lang w:val="es-MX"/>
                              </w:rPr>
                            </w:pPr>
                            <w:r>
                              <w:rPr>
                                <w:b/>
                                <w:color w:val="FFFFFF"/>
                                <w:sz w:val="24"/>
                                <w:lang w:val="es-MX"/>
                              </w:rPr>
                              <w:t>17</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9C72CD" id="Rectángulo 7" o:spid="_x0000_s1026" style="position:absolute;left:0;text-align:left;margin-left:9.05pt;margin-top:50.25pt;width:33.45pt;height:29.9pt;flip:x;z-index:251748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" fillcolor="#509d2f">
                <v:stroke startarrowwidth="narrow" startarrowlength="short" endarrowwidth="narrow" endarrowlength="short" joinstyle="round"/>
                <v:textbox inset="2.53958mm,1.2694mm,2.53958mm,1.2694mm">
                  <w:txbxContent>
                    <w:p w:rsidR="008F1458" w:rsidRPr="00EB1E6E" w:rsidRDefault="00F442A2" w:rsidP="008F1458">
                      <w:pPr>
                        <w:jc w:val="center"/>
                        <w:textDirection w:val="btLr"/>
                        <w:rPr>
                          <w:lang w:val="es-MX"/>
                        </w:rPr>
                      </w:pPr>
                      <w:r>
                        <w:rPr>
                          <w:b/>
                          <w:color w:val="FFFFFF"/>
                          <w:sz w:val="24"/>
                          <w:lang w:val="es-MX"/>
                        </w:rPr>
                        <w:t>17</w:t>
                      </w:r>
                    </w:p>
                  </w:txbxContent>
                </v:textbox>
                <w10:wrap anchorx="margin"/>
              </v:rect>
            </w:pict>
          </mc:Fallback>
        </mc:AlternateContent>
      </w:r>
      <w:r w:rsidR="00475814" w:rsidRPr="00475814">
        <w:rPr>
          <w:lang w:val="en-US"/>
        </w:rPr>
        <w:t>MATERIALS AND METHODS</w:t>
      </w:r>
      <w:r w:rsidR="007B7606" w:rsidRPr="007B7606">
        <w:rPr>
          <w:lang w:val="en-US"/>
        </w:rPr>
        <w:t xml:space="preserve">: </w:t>
      </w:r>
      <w:r w:rsidR="00A82C0E" w:rsidRPr="00A82C0E">
        <w:rPr>
          <w:lang w:val="en-US"/>
        </w:rPr>
        <w:t xml:space="preserve">An observational, retrospective study was performed. We included 251 patients over 18 years of age seen in the Gastroenterology Service of </w:t>
      </w:r>
      <w:proofErr w:type="spellStart"/>
      <w:r w:rsidR="00A82C0E" w:rsidRPr="00A82C0E">
        <w:rPr>
          <w:lang w:val="en-US"/>
        </w:rPr>
        <w:t>Clinica</w:t>
      </w:r>
      <w:proofErr w:type="spellEnd"/>
      <w:r w:rsidR="00A82C0E" w:rsidRPr="00A82C0E">
        <w:rPr>
          <w:lang w:val="en-US"/>
        </w:rPr>
        <w:t xml:space="preserve"> </w:t>
      </w:r>
      <w:proofErr w:type="spellStart"/>
      <w:r w:rsidR="00A82C0E" w:rsidRPr="00A82C0E">
        <w:rPr>
          <w:lang w:val="en-US"/>
        </w:rPr>
        <w:t>Universitaria</w:t>
      </w:r>
      <w:proofErr w:type="spellEnd"/>
      <w:r w:rsidR="00A82C0E" w:rsidRPr="00A82C0E">
        <w:rPr>
          <w:lang w:val="en-US"/>
        </w:rPr>
        <w:t xml:space="preserve"> Reina Fabiola for suspected CD in the period from March 2021 to December 2022 who were requested anti </w:t>
      </w:r>
      <w:proofErr w:type="spellStart"/>
      <w:r w:rsidR="00A82C0E" w:rsidRPr="00A82C0E">
        <w:rPr>
          <w:lang w:val="en-US"/>
        </w:rPr>
        <w:t>tTG</w:t>
      </w:r>
      <w:proofErr w:type="spellEnd"/>
      <w:r w:rsidR="00A82C0E" w:rsidRPr="00A82C0E">
        <w:rPr>
          <w:lang w:val="en-US"/>
        </w:rPr>
        <w:t xml:space="preserve"> IgA, anti-</w:t>
      </w:r>
      <w:r w:rsidR="00A82C0E" w:rsidRPr="00A82C0E">
        <w:rPr>
          <w:lang w:val="en-US"/>
        </w:rPr>
        <w:lastRenderedPageBreak/>
        <w:t xml:space="preserve">DGP IgG and upper gastrointestinal </w:t>
      </w:r>
      <w:proofErr w:type="spellStart"/>
      <w:r w:rsidR="00A82C0E" w:rsidRPr="00A82C0E">
        <w:rPr>
          <w:lang w:val="en-US"/>
        </w:rPr>
        <w:t>videoendoscopy</w:t>
      </w:r>
      <w:proofErr w:type="spellEnd"/>
      <w:r w:rsidR="00A82C0E" w:rsidRPr="00A82C0E">
        <w:rPr>
          <w:lang w:val="en-US"/>
        </w:rPr>
        <w:t xml:space="preserve">. Sensitivity and specificity of anti-DGP IgG for the diagnosis of CD were analyzed. The optimal cut-off value of anti-DGP IgG was calculated using ROC curves. </w:t>
      </w:r>
    </w:p>
    <w:p w:rsidR="00A82C0E" w:rsidRDefault="007B7606" w:rsidP="007B7606">
      <w:pPr>
        <w:rPr>
          <w:lang w:val="en-US"/>
        </w:rPr>
      </w:pPr>
      <w:r w:rsidRPr="007B7606">
        <w:rPr>
          <w:lang w:val="en-US"/>
        </w:rPr>
        <w:t xml:space="preserve">RESULTS: </w:t>
      </w:r>
      <w:r w:rsidR="00A82C0E" w:rsidRPr="00A82C0E">
        <w:rPr>
          <w:lang w:val="en-US"/>
        </w:rPr>
        <w:t xml:space="preserve">The optimal cut-off value was determined to be 25 U/ml. The sensitivity and specificity value for this value were 84.6% (CI: 66.5%-93.9%) and 85.8% (CI: 80.6%-89.7%) respectively. </w:t>
      </w:r>
    </w:p>
    <w:p w:rsidR="00A82C0E" w:rsidRPr="00A82C0E" w:rsidRDefault="007B7606" w:rsidP="00A82C0E">
      <w:pPr>
        <w:rPr>
          <w:lang w:val="en-US"/>
        </w:rPr>
      </w:pPr>
      <w:r w:rsidRPr="007B7606">
        <w:rPr>
          <w:lang w:val="en-US"/>
        </w:rPr>
        <w:t xml:space="preserve">CONCLUSION: </w:t>
      </w:r>
      <w:r w:rsidR="00A82C0E" w:rsidRPr="00A82C0E">
        <w:rPr>
          <w:lang w:val="en-US"/>
        </w:rPr>
        <w:t>Raising the cut-off value from 10 to 25 U/ml would improve the diagnostic accuracy of anti-DGP IgG</w:t>
      </w:r>
    </w:p>
    <w:p w:rsidR="00F53B35" w:rsidRDefault="00A82C0E" w:rsidP="00A82C0E">
      <w:pPr>
        <w:rPr>
          <w:lang w:val="en-US"/>
        </w:rPr>
      </w:pPr>
      <w:r w:rsidRPr="00A82C0E">
        <w:rPr>
          <w:lang w:val="en-US"/>
        </w:rPr>
        <w:t>Further studies could evaluate the impact of this change in the diagnostic algorithm and the role of serologic monitoring as a follow-up of the disease.</w:t>
      </w:r>
    </w:p>
    <w:p w:rsidR="00A82C0E" w:rsidRDefault="00A82C0E" w:rsidP="00A82C0E">
      <w:pPr>
        <w:rPr>
          <w:lang w:val="en-US"/>
        </w:rPr>
      </w:pPr>
    </w:p>
    <w:p w:rsidR="00AF49CF" w:rsidRDefault="00837C9B" w:rsidP="00E43C49">
      <w:pPr>
        <w:rPr>
          <w:rFonts w:eastAsia="Arial"/>
          <w:szCs w:val="20"/>
          <w:lang w:val="en-US"/>
        </w:rPr>
        <w:sectPr w:rsidR="00AF49CF">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sidRPr="00352D81">
        <w:rPr>
          <w:rFonts w:ascii="Arial" w:eastAsia="Arial" w:hAnsi="Arial" w:cs="Arial"/>
          <w:b/>
          <w:sz w:val="24"/>
          <w:lang w:val="en-US"/>
        </w:rPr>
        <w:t>Keywords</w:t>
      </w:r>
      <w:r w:rsidRPr="00352D81">
        <w:rPr>
          <w:rFonts w:ascii="Arial" w:eastAsia="Arial" w:hAnsi="Arial" w:cs="Arial"/>
          <w:b/>
          <w:lang w:val="en-US"/>
        </w:rPr>
        <w:t>:</w:t>
      </w:r>
      <w:r w:rsidR="007B7606" w:rsidRPr="007B7606">
        <w:rPr>
          <w:rFonts w:eastAsia="Arial"/>
          <w:bCs/>
          <w:sz w:val="24"/>
          <w:lang w:val="en-US"/>
        </w:rPr>
        <w:t xml:space="preserve"> </w:t>
      </w:r>
      <w:r w:rsidR="00A82C0E" w:rsidRPr="00A82C0E">
        <w:rPr>
          <w:rFonts w:eastAsia="Arial"/>
          <w:bCs/>
          <w:szCs w:val="20"/>
          <w:lang w:val="en-US"/>
        </w:rPr>
        <w:t>celiac disease, deamidated gliadin, deamidated peptides.</w:t>
      </w:r>
    </w:p>
    <w:p w:rsidR="00213F9D" w:rsidRPr="00352D81" w:rsidRDefault="00213F9D" w:rsidP="00E43C49">
      <w:pPr>
        <w:rPr>
          <w:rFonts w:eastAsia="Arial"/>
          <w:szCs w:val="20"/>
          <w:lang w:val="en-US"/>
        </w:rPr>
        <w:sectPr w:rsidR="00213F9D" w:rsidRPr="00352D81" w:rsidSect="00AF49CF">
          <w:type w:val="continuous"/>
          <w:pgSz w:w="11906" w:h="16838"/>
          <w:pgMar w:top="1531" w:right="1701" w:bottom="1418" w:left="1701" w:header="709" w:footer="709" w:gutter="0"/>
          <w:pgNumType w:start="18"/>
          <w:cols w:num="2" w:space="720"/>
          <w:titlePg/>
        </w:sectPr>
      </w:pPr>
    </w:p>
    <w:p w:rsidR="00DF7912" w:rsidRPr="00EC6B22" w:rsidRDefault="00837C9B" w:rsidP="00EC6B22">
      <w:pPr>
        <w:pStyle w:val="Ttulo1"/>
      </w:pPr>
      <w:r w:rsidRPr="00EC6B22">
        <w:t>Introducción</w:t>
      </w:r>
    </w:p>
    <w:p w:rsidR="00A82C0E" w:rsidRDefault="00A82C0E" w:rsidP="00A82C0E">
      <w:r>
        <w:t>La enfermedad celíaca (EC) es uno de los trastornos autoinmunes más frecuentes, con una prevalencia de 0,5 a 1% en la población general. Se caracteriza por un perfil serológico e histológico específico desencadenado por la ingesta de gluten en individuos genéticamente predispuestos¹ que presentan antígenos leucocitarios humanos (HLA) clase II DQ2 o DQ8. La prevalencia es mayor en individuos con familiares de primer grado con EC (10-15%) y en otros grupos de riesgo, en particular pacientes con Síndrome de Down, diabetes tipo 1 o deficiencia de IgA².</w:t>
      </w:r>
    </w:p>
    <w:p w:rsidR="00A82C0E" w:rsidRDefault="00A82C0E" w:rsidP="00A82C0E">
      <w:r>
        <w:t>El gluten es una de las pocas proteínas resistentes a la digestión, que se consume de manera crónica en cantidades significativas, y está constituido por varios péptidos inmunogénicos. Las gliadinas, componentes del gluten, son proteínas complejas ricas en prolinas y glutaminas, y no son completamente digeribles por enzimas intestinales. El producto final de esta digestión parcial es una mezcla de péptidos que pueden desencadenar respuestas del huésped (aumento de la permeabilidad intestinal y respuesta inmunitaria innata y adaptativa) que se asemejan a las provocadas por la exposición a microorganismos potencialmente dañinos¹.</w:t>
      </w:r>
    </w:p>
    <w:p w:rsidR="00E94AA0" w:rsidRDefault="00A82C0E" w:rsidP="00A82C0E">
      <w:r>
        <w:t xml:space="preserve">La malabsorción es la consecuencia de la lesión de la mucosa, causada por la autoinmunidad humoral y mediada por células. De hecho, la transglutaminasa tisular 2 (TTG2), una enzima intestinal, hace que los péptidos de gluten sean tóxicos por reacciones de transamidación y desamidación. Las células plasmáticas liberan anticuerpos IgA contra los componentes propios de la capa mucosa y los péptidos de gluten desaminados. Las moléculas de IgA específicas pasan al torrente sanguíneo como anticuerpos contra la transglutaminasa 2, el endomisio y los péptidos de gliadina deaminada, y su detección es útil para el diagnóstico de la enfermedad³. Por </w:t>
      </w:r>
    </w:p>
    <w:p w:rsidR="00E94AA0" w:rsidRDefault="00E94AA0" w:rsidP="00A82C0E"/>
    <w:p w:rsidR="00E94AA0" w:rsidRDefault="00E94AA0" w:rsidP="00A82C0E"/>
    <w:p w:rsidR="00E94AA0" w:rsidRDefault="00E94AA0" w:rsidP="00A82C0E"/>
    <w:p w:rsidR="00A82C0E" w:rsidRDefault="00A82C0E" w:rsidP="00A82C0E">
      <w:r>
        <w:t>otro lado, se produce una respuesta inmunitaria mediada por linfocitos T CD3+ que se denominan linfocitos intraepiteliales (LIE), éstos se infiltran en la capa mucosa, dañando así los enterocitos³.</w:t>
      </w:r>
    </w:p>
    <w:p w:rsidR="00EC6B22" w:rsidRDefault="00A82C0E" w:rsidP="00A82C0E">
      <w:r>
        <w:t>En los últimos años, ha habido cambios significativos en el diagnóstico, la patogenia y la historia natural de esta enfermedad que presenta un aumento constante en el número de diagnósticos, incluso en pacientes adultos mayores. Esto se ha atribuido principalmente a la mayor disponibilidad de pruebas de detección sensibles, que permiten la identificación de los individuos con mayor riesgo¹.</w:t>
      </w:r>
    </w:p>
    <w:p w:rsidR="00A82C0E" w:rsidRDefault="00A82C0E" w:rsidP="00A82C0E">
      <w:r>
        <w:t xml:space="preserve">El diagnóstico de EC se basa en la combinación de resultados de biopsia intestinal </w:t>
      </w:r>
      <w:r w:rsidR="00853CA4">
        <w:t xml:space="preserve">y </w:t>
      </w:r>
      <w:proofErr w:type="spellStart"/>
      <w:r w:rsidR="00853CA4">
        <w:t>tests</w:t>
      </w:r>
      <w:proofErr w:type="spellEnd"/>
      <w:r>
        <w:t xml:space="preserve"> serológicos positivos los que incluyen pruebas altamente predictivas y validadas: anticuerpos </w:t>
      </w:r>
      <w:proofErr w:type="spellStart"/>
      <w:r>
        <w:t>antiendomisio</w:t>
      </w:r>
      <w:proofErr w:type="spellEnd"/>
      <w:r>
        <w:t xml:space="preserve"> (IgA EMA), IgA </w:t>
      </w:r>
      <w:proofErr w:type="spellStart"/>
      <w:r>
        <w:t>antitransglutaminasa</w:t>
      </w:r>
      <w:proofErr w:type="spellEnd"/>
      <w:r>
        <w:t xml:space="preserve"> tisular (IgA </w:t>
      </w:r>
      <w:proofErr w:type="spellStart"/>
      <w:r>
        <w:t>anti-tTG</w:t>
      </w:r>
      <w:proofErr w:type="spellEnd"/>
      <w:r>
        <w:t xml:space="preserve">) e IgG anti gliadina deaminada (IgG DGP). En el caso de pacientes pediátricos con altos títulos </w:t>
      </w:r>
      <w:r w:rsidR="00853CA4">
        <w:t>de anticuerpos</w:t>
      </w:r>
      <w:r>
        <w:t xml:space="preserve"> (10 veces sobre el valor de </w:t>
      </w:r>
      <w:proofErr w:type="spellStart"/>
      <w:r>
        <w:t>cut</w:t>
      </w:r>
      <w:proofErr w:type="spellEnd"/>
      <w:r>
        <w:t xml:space="preserve"> off), presencia de HLA-DQ2/HLA-DQ8 y signos y síntomas compatibles con EC se puede evitar la realización de biopsia según recomendaciones de guías de la Sociedad Europea de Gastroenterología, Hepatología y Nutrición Pediátrica. Con el mismo criterio, en estudios recientes Fuchs y col mostraron en población adulta que los </w:t>
      </w:r>
      <w:proofErr w:type="spellStart"/>
      <w:r>
        <w:t>tests</w:t>
      </w:r>
      <w:proofErr w:type="spellEnd"/>
      <w:r>
        <w:t xml:space="preserve"> seropositivos con valores elevados (10 veces sobre el valor de </w:t>
      </w:r>
      <w:proofErr w:type="spellStart"/>
      <w:r>
        <w:t>cut</w:t>
      </w:r>
      <w:proofErr w:type="spellEnd"/>
      <w:r>
        <w:t xml:space="preserve"> </w:t>
      </w:r>
      <w:r w:rsidR="00853CA4">
        <w:t>off)</w:t>
      </w:r>
      <w:r>
        <w:t xml:space="preserve"> y HLA-DQ2/HLA-DQ8 positivos presentan alta precisión para la detección de pacientes con EC. Por otro lado, un pequeño grupo de pacientes con EC, alrededor de 2 a 3%, son seronegativos y es en esos casos en los que la detección de la atrofia de las vellosidades intestinales por biopsia es esencial para realizar el diagnóstico</w:t>
      </w:r>
      <w:r w:rsidRPr="00853CA4">
        <w:rPr>
          <w:vertAlign w:val="superscript"/>
        </w:rPr>
        <w:t>1</w:t>
      </w:r>
      <w:r w:rsidR="00853CA4">
        <w:t>.</w:t>
      </w:r>
    </w:p>
    <w:p w:rsidR="00A82C0E" w:rsidRDefault="00853CA4" w:rsidP="00A82C0E">
      <w:r>
        <w:rPr>
          <w:noProof/>
          <w:lang w:val="es-AR" w:eastAsia="es-AR"/>
        </w:rPr>
        <mc:AlternateContent>
          <mc:Choice Requires="wps">
            <w:drawing>
              <wp:anchor distT="0" distB="0" distL="114300" distR="114300" simplePos="0" relativeHeight="251754496" behindDoc="0" locked="0" layoutInCell="1" allowOverlap="1" wp14:anchorId="52C19F70" wp14:editId="690E6C91">
                <wp:simplePos x="0" y="0"/>
                <wp:positionH relativeFrom="rightMargin">
                  <wp:posOffset>139065</wp:posOffset>
                </wp:positionH>
                <wp:positionV relativeFrom="paragraph">
                  <wp:posOffset>589915</wp:posOffset>
                </wp:positionV>
                <wp:extent cx="476250" cy="428625"/>
                <wp:effectExtent l="0" t="0" r="19050" b="28575"/>
                <wp:wrapNone/>
                <wp:docPr id="5"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6250" cy="428625"/>
                        </a:xfrm>
                        <a:prstGeom prst="rect">
                          <a:avLst/>
                        </a:prstGeom>
                        <a:solidFill>
                          <a:srgbClr val="509D2F"/>
                        </a:solidFill>
                        <a:ln w="9525">
                          <a:solidFill>
                            <a:srgbClr val="000000"/>
                          </a:solidFill>
                          <a:round/>
                          <a:headEnd type="none" w="sm" len="sm"/>
                          <a:tailEnd type="none" w="sm" len="sm"/>
                        </a:ln>
                      </wps:spPr>
                      <wps:txbx>
                        <w:txbxContent>
                          <w:p w:rsidR="00853CA4" w:rsidRPr="00EB1E6E" w:rsidRDefault="00F442A2" w:rsidP="00853CA4">
                            <w:pPr>
                              <w:jc w:val="center"/>
                              <w:textDirection w:val="btLr"/>
                              <w:rPr>
                                <w:lang w:val="es-MX"/>
                              </w:rPr>
                            </w:pPr>
                            <w:r>
                              <w:rPr>
                                <w:b/>
                                <w:color w:val="FFFFFF"/>
                                <w:sz w:val="24"/>
                                <w:lang w:val="es-MX"/>
                              </w:rPr>
                              <w:t>18</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C19F70" id="_x0000_s1027" style="position:absolute;left:0;text-align:left;margin-left:10.95pt;margin-top:46.45pt;width:37.5pt;height:33.75pt;flip:x;z-index:251754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" fillcolor="#509d2f">
                <v:stroke startarrowwidth="narrow" startarrowlength="short" endarrowwidth="narrow" endarrowlength="short" joinstyle="round"/>
                <v:textbox inset="2.53958mm,1.2694mm,2.53958mm,1.2694mm">
                  <w:txbxContent>
                    <w:p w:rsidR="00853CA4" w:rsidRPr="00EB1E6E" w:rsidRDefault="00F442A2" w:rsidP="00853CA4">
                      <w:pPr>
                        <w:jc w:val="center"/>
                        <w:textDirection w:val="btLr"/>
                        <w:rPr>
                          <w:lang w:val="es-MX"/>
                        </w:rPr>
                      </w:pPr>
                      <w:r>
                        <w:rPr>
                          <w:b/>
                          <w:color w:val="FFFFFF"/>
                          <w:sz w:val="24"/>
                          <w:lang w:val="es-MX"/>
                        </w:rPr>
                        <w:t>18</w:t>
                      </w:r>
                    </w:p>
                  </w:txbxContent>
                </v:textbox>
                <w10:wrap anchorx="margin"/>
              </v:rect>
            </w:pict>
          </mc:Fallback>
        </mc:AlternateContent>
      </w:r>
      <w:r w:rsidR="00A82C0E">
        <w:t xml:space="preserve">La IgA </w:t>
      </w:r>
      <w:proofErr w:type="spellStart"/>
      <w:r w:rsidR="00A82C0E">
        <w:t>anti-tTG</w:t>
      </w:r>
      <w:proofErr w:type="spellEnd"/>
      <w:r w:rsidR="00A82C0E">
        <w:t xml:space="preserve"> es la prueba de elección para la detección de EC en personas mayores de dos </w:t>
      </w:r>
      <w:r w:rsidR="00A82C0E">
        <w:lastRenderedPageBreak/>
        <w:t>años (recomendación fuerte, alto nivel de evidencia). Sin embargo, la deficiencia de IgA es más común en pacientes con EC que en la población general, alcanzando el 2-3% de los pacientes con celiaquía. Por lo tanto, se debe medir IgA total o incluir otras pruebas basadas en IgG, como IgG DGP (recomendación fuerte, nivel de evidencia moderado) como lo sugieren los algoritmos diagnósticos de las guías del Colegio Americano de Gastroenterología y la Sociedad Europea de Gastroenterología Pediátrica</w:t>
      </w:r>
      <w:r w:rsidRPr="00853CA4">
        <w:rPr>
          <w:vertAlign w:val="superscript"/>
        </w:rPr>
        <w:t>4,5</w:t>
      </w:r>
      <w:r w:rsidR="00A82C0E">
        <w:t>.</w:t>
      </w:r>
    </w:p>
    <w:p w:rsidR="00A82C0E" w:rsidRDefault="00A82C0E" w:rsidP="00A82C0E">
      <w:proofErr w:type="spellStart"/>
      <w:r>
        <w:t>Oyaert</w:t>
      </w:r>
      <w:proofErr w:type="spellEnd"/>
      <w:r>
        <w:t xml:space="preserve"> et al, evaluaron el uso conjunto de IgA </w:t>
      </w:r>
      <w:proofErr w:type="spellStart"/>
      <w:r>
        <w:t>anti-tTG</w:t>
      </w:r>
      <w:proofErr w:type="spellEnd"/>
      <w:r>
        <w:t xml:space="preserve"> con el anticuerpo IgG DGP para el diagnóstico de EC, tanto en poblaciones pediátricas como adultas, y demostraron que los pacientes con doble positividad y mayores niveles de anticuerpos tenían mayor probabilidad de tener EC</w:t>
      </w:r>
      <w:r w:rsidRPr="00853CA4">
        <w:rPr>
          <w:vertAlign w:val="superscript"/>
        </w:rPr>
        <w:t>6,7</w:t>
      </w:r>
      <w:r>
        <w:t>.</w:t>
      </w:r>
    </w:p>
    <w:p w:rsidR="00A82C0E" w:rsidRDefault="00A82C0E" w:rsidP="00A82C0E">
      <w:r>
        <w:t xml:space="preserve">Para la determinación de IgG DGP, han sido desarrollados test de ELISA de segunda generación, concluyendo así la era de los anticuerpos </w:t>
      </w:r>
      <w:proofErr w:type="spellStart"/>
      <w:r>
        <w:t>antigliadinas</w:t>
      </w:r>
      <w:proofErr w:type="spellEnd"/>
      <w:r>
        <w:t xml:space="preserve"> convencionales, de baja sensibilidad y especificidad</w:t>
      </w:r>
      <w:r w:rsidR="00853CA4" w:rsidRPr="00853CA4">
        <w:rPr>
          <w:vertAlign w:val="superscript"/>
        </w:rPr>
        <w:t>8</w:t>
      </w:r>
      <w:r>
        <w:t>.</w:t>
      </w:r>
    </w:p>
    <w:p w:rsidR="00574079" w:rsidRDefault="00A82C0E" w:rsidP="00A82C0E">
      <w:r>
        <w:t xml:space="preserve">Los criterios de diagnóstico para la EC pueden </w:t>
      </w:r>
      <w:r w:rsidRPr="00F442A2">
        <w:t xml:space="preserve">diferir en algunas partes del mundo debido a varios factores. Incluso los </w:t>
      </w:r>
      <w:r w:rsidR="00F442A2" w:rsidRPr="00F442A2">
        <w:t xml:space="preserve">valores </w:t>
      </w:r>
      <w:r w:rsidRPr="00F442A2">
        <w:t>de corte para la mayoría de las pruebas serológicas se basan en datos de poblaciones diferentes, y son suministrados por el fabricante del equipo de reactivos.  El título para una prueba positiva, la sensibilidad y la especificidad pueden variar según la edad, el origen étnico y la región de residencia</w:t>
      </w:r>
      <w:r w:rsidR="00853CA4" w:rsidRPr="00F442A2">
        <w:rPr>
          <w:vertAlign w:val="superscript"/>
        </w:rPr>
        <w:t>9</w:t>
      </w:r>
      <w:r w:rsidR="00853CA4" w:rsidRPr="00F442A2">
        <w:t>.</w:t>
      </w:r>
    </w:p>
    <w:p w:rsidR="00574079" w:rsidRDefault="00574079" w:rsidP="00574079">
      <w:pPr>
        <w:pStyle w:val="Ttulo1"/>
      </w:pPr>
      <w:r w:rsidRPr="00574079">
        <w:rPr>
          <w:rStyle w:val="Ttulo1Car"/>
          <w:b/>
          <w:bCs/>
        </w:rPr>
        <w:t>Objetivos</w:t>
      </w:r>
      <w:r>
        <w:t xml:space="preserve"> </w:t>
      </w:r>
    </w:p>
    <w:p w:rsidR="00574079" w:rsidRDefault="00574079" w:rsidP="00574079">
      <w:r>
        <w:t>●Determinar la exactitud diagnóstica de la IgG DGP comparado con el resultado de la biopsia duodenal para EC.</w:t>
      </w:r>
    </w:p>
    <w:p w:rsidR="00EC6B22" w:rsidRDefault="00574079" w:rsidP="00F53B35">
      <w:r>
        <w:t>●Investigar el valor de corte óptimo de IgG DGP para diagnóstico de EC para la población estudiada.</w:t>
      </w:r>
    </w:p>
    <w:p w:rsidR="0089032F" w:rsidRDefault="0089032F" w:rsidP="007B7606">
      <w:pPr>
        <w:pStyle w:val="Ttulo1"/>
      </w:pPr>
      <w:r>
        <w:t>Materiales y métodos</w:t>
      </w:r>
    </w:p>
    <w:p w:rsidR="00574079" w:rsidRDefault="00574079" w:rsidP="00574079">
      <w:r>
        <w:t xml:space="preserve">Se realizó un estudio observacional, retrospectivo, de prueba diagnóstica. Donde se evaluaron pacientes mayores de 18 años de ambos sexos atendidos en consulta ambulatoria por el Servicio de Gastroenterología de la Clínica Universitaria Reina Fabiola (CURF) por sospecha de EC, en el periodo de marzo de 2021 a diciembre de 2022. Se revisaron un total de 1315 historias clínicas, se excluyeron 1064 pacientes que no presentaban biopsias de </w:t>
      </w:r>
      <w:r>
        <w:t xml:space="preserve">intestino delgado o serología para EC. El tamaño muestral fue de N= 251. Según el cálculo de Machín et al tamaño muestral necesario era de 24 pacientes, asumiendo una sensibilidad para la biopsia intestinal como </w:t>
      </w:r>
      <w:proofErr w:type="spellStart"/>
      <w:r w:rsidRPr="00574079">
        <w:rPr>
          <w:i/>
        </w:rPr>
        <w:t>gold</w:t>
      </w:r>
      <w:proofErr w:type="spellEnd"/>
      <w:r w:rsidRPr="00574079">
        <w:rPr>
          <w:i/>
        </w:rPr>
        <w:t xml:space="preserve"> standard</w:t>
      </w:r>
      <w:r>
        <w:t xml:space="preserve"> de diagnóstico de 97,0%, y un 84,4% para IgG DGP, un error α 0,05 y un error β 0,2.</w:t>
      </w:r>
    </w:p>
    <w:p w:rsidR="00574079" w:rsidRDefault="00574079" w:rsidP="00574079">
      <w:r>
        <w:t xml:space="preserve">Criterios de inclusión: pacientes mayores de 18 años con sospecha de EC (pacientes con anemia, clínica asociada a distensión abdominal, diarrea crónica, dolor abdominal o constipación o pacientes que pertenecían a grupos de alto riesgo) a los que se les había solicitado serología (IgA </w:t>
      </w:r>
      <w:proofErr w:type="spellStart"/>
      <w:r>
        <w:t>anti-tTG</w:t>
      </w:r>
      <w:proofErr w:type="spellEnd"/>
      <w:r>
        <w:t xml:space="preserve">, IgG DGP) y videoendoscopia digestiva alta con biopsias de intestino delgado. </w:t>
      </w:r>
    </w:p>
    <w:p w:rsidR="00153B26" w:rsidRDefault="00574079" w:rsidP="00574079">
      <w:r>
        <w:t xml:space="preserve">Las variables a analizar fueron edad, sexo, valor de IgG DGP en UI/mL en sangre medida por método ELISA (positivo mayor a 10 U/ml), valor de IgA </w:t>
      </w:r>
      <w:proofErr w:type="spellStart"/>
      <w:r>
        <w:t>anti-tTG</w:t>
      </w:r>
      <w:proofErr w:type="spellEnd"/>
      <w:r>
        <w:t xml:space="preserve"> en  UI/</w:t>
      </w:r>
      <w:proofErr w:type="spellStart"/>
      <w:r>
        <w:t>mL</w:t>
      </w:r>
      <w:proofErr w:type="spellEnd"/>
      <w:r>
        <w:t xml:space="preserve"> en sangre medida por método ELISA (positivo mayor a 12 U/l), y anatomía patológica según la Clasificación de Marsh como </w:t>
      </w:r>
      <w:proofErr w:type="spellStart"/>
      <w:r w:rsidRPr="00574079">
        <w:rPr>
          <w:i/>
        </w:rPr>
        <w:t>gold</w:t>
      </w:r>
      <w:proofErr w:type="spellEnd"/>
      <w:r w:rsidRPr="00574079">
        <w:rPr>
          <w:i/>
        </w:rPr>
        <w:t xml:space="preserve"> standard</w:t>
      </w:r>
      <w:r>
        <w:t xml:space="preserve"> para diagnóstico de EC (Se consideró positivo cuando presentó un grado de atrofia Marsh </w:t>
      </w:r>
      <w:proofErr w:type="spellStart"/>
      <w:r>
        <w:t>Oberhuber</w:t>
      </w:r>
      <w:proofErr w:type="spellEnd"/>
      <w:r>
        <w:t xml:space="preserve"> modificada de 3a, 3b o 3c -</w:t>
      </w:r>
      <w:r w:rsidR="00E94AA0">
        <w:t xml:space="preserve">Tabla </w:t>
      </w:r>
      <w:r>
        <w:t>1)</w:t>
      </w:r>
      <w:r w:rsidR="00853CA4" w:rsidRPr="00853CA4">
        <w:rPr>
          <w:vertAlign w:val="superscript"/>
        </w:rPr>
        <w:t>10</w:t>
      </w:r>
      <w:r w:rsidR="00853CA4">
        <w:t>.</w:t>
      </w:r>
    </w:p>
    <w:p w:rsidR="00535B3F" w:rsidRDefault="00E94AA0" w:rsidP="00535B3F">
      <w:pPr>
        <w:pStyle w:val="LeyendaTabla"/>
        <w:jc w:val="left"/>
      </w:pPr>
      <w:r w:rsidRPr="008B5941">
        <w:rPr>
          <w:b/>
        </w:rPr>
        <w:t>Tabla</w:t>
      </w:r>
      <w:r w:rsidR="00535B3F" w:rsidRPr="008B5941">
        <w:rPr>
          <w:b/>
        </w:rPr>
        <w:t xml:space="preserve"> 1.</w:t>
      </w:r>
      <w:r w:rsidR="00535B3F" w:rsidRPr="008B5941">
        <w:t xml:space="preserve"> Clasificación de Marsh.</w:t>
      </w:r>
    </w:p>
    <w:p w:rsidR="00535B3F" w:rsidRDefault="00535B3F" w:rsidP="00574079">
      <w:r w:rsidRPr="00535B3F">
        <w:rPr>
          <w:noProof/>
          <w:lang w:val="es-AR" w:eastAsia="es-AR"/>
        </w:rPr>
        <w:drawing>
          <wp:inline distT="0" distB="0" distL="0" distR="0" wp14:anchorId="6F66811C" wp14:editId="77E41938">
            <wp:extent cx="2471420" cy="1545590"/>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1420" cy="1545590"/>
                    </a:xfrm>
                    <a:prstGeom prst="rect">
                      <a:avLst/>
                    </a:prstGeom>
                  </pic:spPr>
                </pic:pic>
              </a:graphicData>
            </a:graphic>
          </wp:inline>
        </w:drawing>
      </w:r>
    </w:p>
    <w:p w:rsidR="00574079" w:rsidRDefault="00574079" w:rsidP="00574079">
      <w:r>
        <w:t xml:space="preserve">Se consideraron los siguientes parámetros: verdadero positivo, falso negativo, falso positivo y verdadero negativo (Tabla </w:t>
      </w:r>
      <w:r w:rsidR="00E94AA0">
        <w:t>2</w:t>
      </w:r>
      <w:r>
        <w:t>).</w:t>
      </w:r>
    </w:p>
    <w:p w:rsidR="00153B26" w:rsidRDefault="00153B26" w:rsidP="00574079"/>
    <w:p w:rsidR="00535B3F" w:rsidRDefault="00535B3F" w:rsidP="00535B3F">
      <w:pPr>
        <w:pStyle w:val="LeyendaTabla"/>
        <w:jc w:val="left"/>
      </w:pPr>
      <w:r w:rsidRPr="00535B3F">
        <w:rPr>
          <w:b/>
        </w:rPr>
        <w:t xml:space="preserve">Tabla </w:t>
      </w:r>
      <w:r w:rsidR="00E94AA0">
        <w:rPr>
          <w:b/>
        </w:rPr>
        <w:t>2</w:t>
      </w:r>
      <w:r w:rsidRPr="00535B3F">
        <w:rPr>
          <w:b/>
        </w:rPr>
        <w:t>.</w:t>
      </w:r>
      <w:r>
        <w:t xml:space="preserve"> </w:t>
      </w:r>
      <w:r w:rsidRPr="00535B3F">
        <w:t>Parámetros de descripción de IgG-GdP según biopsia intestinal.</w:t>
      </w:r>
    </w:p>
    <w:p w:rsidR="00535B3F" w:rsidRDefault="00535B3F" w:rsidP="00574079">
      <w:r w:rsidRPr="00535B3F">
        <w:rPr>
          <w:noProof/>
          <w:lang w:val="es-AR" w:eastAsia="es-AR"/>
        </w:rPr>
        <w:drawing>
          <wp:inline distT="0" distB="0" distL="0" distR="0" wp14:anchorId="56EF773F" wp14:editId="5FCCB06B">
            <wp:extent cx="2471420" cy="786130"/>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1420" cy="786130"/>
                    </a:xfrm>
                    <a:prstGeom prst="rect">
                      <a:avLst/>
                    </a:prstGeom>
                  </pic:spPr>
                </pic:pic>
              </a:graphicData>
            </a:graphic>
          </wp:inline>
        </w:drawing>
      </w:r>
    </w:p>
    <w:p w:rsidR="00535B3F" w:rsidRDefault="00535B3F" w:rsidP="00535B3F">
      <w:pPr>
        <w:pStyle w:val="LeyendaTabla"/>
        <w:jc w:val="left"/>
      </w:pPr>
      <w:r w:rsidRPr="00535B3F">
        <w:t xml:space="preserve">Fuente: Clínica Universitaria Reina Fabiola - Servicio de gastroenterología. Año 2021 </w:t>
      </w:r>
      <w:r>
        <w:t>–</w:t>
      </w:r>
      <w:r w:rsidRPr="00535B3F">
        <w:t xml:space="preserve"> 2022</w:t>
      </w:r>
    </w:p>
    <w:p w:rsidR="00535B3F" w:rsidRDefault="00535B3F" w:rsidP="00535B3F">
      <w:pPr>
        <w:pStyle w:val="LeyendaTabla"/>
        <w:jc w:val="left"/>
      </w:pPr>
    </w:p>
    <w:p w:rsidR="00574079" w:rsidRDefault="008B5941" w:rsidP="00574079">
      <w:r>
        <w:rPr>
          <w:noProof/>
          <w:lang w:val="es-AR" w:eastAsia="es-AR"/>
        </w:rPr>
        <mc:AlternateContent>
          <mc:Choice Requires="wps">
            <w:drawing>
              <wp:anchor distT="0" distB="0" distL="114300" distR="114300" simplePos="0" relativeHeight="251760640" behindDoc="0" locked="0" layoutInCell="1" allowOverlap="1" wp14:anchorId="03A8FDEB" wp14:editId="0521E097">
                <wp:simplePos x="0" y="0"/>
                <wp:positionH relativeFrom="rightMargin">
                  <wp:posOffset>71755</wp:posOffset>
                </wp:positionH>
                <wp:positionV relativeFrom="paragraph">
                  <wp:posOffset>1162050</wp:posOffset>
                </wp:positionV>
                <wp:extent cx="425003" cy="379927"/>
                <wp:effectExtent l="0" t="0" r="13335" b="20320"/>
                <wp:wrapNone/>
                <wp:docPr id="3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8B5941" w:rsidRPr="00EB1E6E" w:rsidRDefault="00F442A2" w:rsidP="008B5941">
                            <w:pPr>
                              <w:jc w:val="center"/>
                              <w:textDirection w:val="btLr"/>
                              <w:rPr>
                                <w:lang w:val="es-MX"/>
                              </w:rPr>
                            </w:pPr>
                            <w:r>
                              <w:rPr>
                                <w:b/>
                                <w:color w:val="FFFFFF"/>
                                <w:sz w:val="24"/>
                                <w:lang w:val="es-MX"/>
                              </w:rPr>
                              <w:t>19</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A8FDEB" id="_x0000_s1028" style="position:absolute;left:0;text-align:left;margin-left:5.65pt;margin-top:91.5pt;width:33.45pt;height:29.9pt;flip:x;z-index:251760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" fillcolor="#509d2f">
                <v:stroke startarrowwidth="narrow" startarrowlength="short" endarrowwidth="narrow" endarrowlength="short" joinstyle="round"/>
                <v:textbox inset="2.53958mm,1.2694mm,2.53958mm,1.2694mm">
                  <w:txbxContent>
                    <w:p w:rsidR="008B5941" w:rsidRPr="00EB1E6E" w:rsidRDefault="00F442A2" w:rsidP="008B5941">
                      <w:pPr>
                        <w:jc w:val="center"/>
                        <w:textDirection w:val="btLr"/>
                        <w:rPr>
                          <w:lang w:val="es-MX"/>
                        </w:rPr>
                      </w:pPr>
                      <w:r>
                        <w:rPr>
                          <w:b/>
                          <w:color w:val="FFFFFF"/>
                          <w:sz w:val="24"/>
                          <w:lang w:val="es-MX"/>
                        </w:rPr>
                        <w:t>19</w:t>
                      </w:r>
                    </w:p>
                  </w:txbxContent>
                </v:textbox>
                <w10:wrap anchorx="margin"/>
              </v:rect>
            </w:pict>
          </mc:Fallback>
        </mc:AlternateContent>
      </w:r>
      <w:r w:rsidR="00574079">
        <w:t xml:space="preserve">En relación al análisis estadístico de los datos, para variables categóricas, se calcularon frecuencias relativas (%), y para las variables continuas se calcularon medidas de posición y </w:t>
      </w:r>
      <w:proofErr w:type="spellStart"/>
      <w:r w:rsidR="00574079">
        <w:t>dispersión.La</w:t>
      </w:r>
      <w:proofErr w:type="spellEnd"/>
      <w:r w:rsidR="00574079">
        <w:t xml:space="preserve"> exactitud diagnóstica de la IgG-DGP se calculó según los valores de sensibilidad, </w:t>
      </w:r>
      <w:r w:rsidR="00574079">
        <w:lastRenderedPageBreak/>
        <w:t>especificidad y valor predictivo negativo y positivo utilizando tablas de 2x2. Para determinar el valor de corte óptimo de IgG-DGP para el diagnóstico de EC se utilizó una curva ROC. El análisis estadístico se realizó con software Infostat y R-Medic.</w:t>
      </w:r>
    </w:p>
    <w:p w:rsidR="00891F8E" w:rsidRPr="00874E1E" w:rsidRDefault="00891F8E" w:rsidP="00874E1E">
      <w:pPr>
        <w:pStyle w:val="Ttulo1"/>
      </w:pPr>
      <w:r w:rsidRPr="00874E1E">
        <w:t>Resultados</w:t>
      </w:r>
    </w:p>
    <w:p w:rsidR="00513F28" w:rsidRDefault="00574079" w:rsidP="00574079">
      <w:r>
        <w:t xml:space="preserve">La edad media de los pacientes fue de 41,4 (DE=14,0) años y hubo un claro predominio de sexo femenino con el 77,3% del total. El motivo de consulta más frecuente fue la anemia o ferropenia (21,1% de los casos); en el 14,7% de los casos el motivo fue la distensión abdominal, en un 12,4%, dolor abdominal y en igual medida diarrea crónica (Tabla </w:t>
      </w:r>
      <w:r w:rsidR="00E94AA0">
        <w:t>3</w:t>
      </w:r>
      <w:r>
        <w:t>).</w:t>
      </w:r>
    </w:p>
    <w:p w:rsidR="008B5941" w:rsidRDefault="008B5941" w:rsidP="00574079"/>
    <w:p w:rsidR="00535B3F" w:rsidRDefault="00535B3F" w:rsidP="00535B3F">
      <w:pPr>
        <w:pStyle w:val="LeyendaTabla"/>
        <w:jc w:val="left"/>
      </w:pPr>
      <w:r w:rsidRPr="00535B3F">
        <w:rPr>
          <w:b/>
        </w:rPr>
        <w:t xml:space="preserve">Tabla </w:t>
      </w:r>
      <w:r w:rsidR="00E94AA0">
        <w:rPr>
          <w:b/>
        </w:rPr>
        <w:t>3</w:t>
      </w:r>
      <w:r w:rsidRPr="00535B3F">
        <w:rPr>
          <w:b/>
        </w:rPr>
        <w:t>.</w:t>
      </w:r>
      <w:r>
        <w:t xml:space="preserve"> </w:t>
      </w:r>
      <w:r w:rsidRPr="00535B3F">
        <w:t>Distribución de la muestra de acuerdo a datos demográficos y motivo de consulta.</w:t>
      </w:r>
    </w:p>
    <w:p w:rsidR="00535B3F" w:rsidRDefault="00535B3F" w:rsidP="00574079">
      <w:r w:rsidRPr="00535B3F">
        <w:rPr>
          <w:noProof/>
          <w:lang w:val="es-AR" w:eastAsia="es-AR"/>
        </w:rPr>
        <w:drawing>
          <wp:inline distT="0" distB="0" distL="0" distR="0" wp14:anchorId="291FE859" wp14:editId="62ABEABA">
            <wp:extent cx="2400300" cy="242866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03413" cy="2431819"/>
                    </a:xfrm>
                    <a:prstGeom prst="rect">
                      <a:avLst/>
                    </a:prstGeom>
                  </pic:spPr>
                </pic:pic>
              </a:graphicData>
            </a:graphic>
          </wp:inline>
        </w:drawing>
      </w:r>
    </w:p>
    <w:p w:rsidR="00535B3F" w:rsidRDefault="00535B3F" w:rsidP="00535B3F">
      <w:pPr>
        <w:pStyle w:val="LeyendaTabla"/>
        <w:jc w:val="left"/>
        <w:rPr>
          <w:sz w:val="16"/>
          <w:szCs w:val="16"/>
        </w:rPr>
      </w:pPr>
      <w:r w:rsidRPr="00535B3F">
        <w:t xml:space="preserve"> </w:t>
      </w:r>
      <w:r w:rsidRPr="00513F28">
        <w:rPr>
          <w:sz w:val="16"/>
          <w:szCs w:val="16"/>
        </w:rPr>
        <w:t>Fuente: Clínica Universitaria Reina Fabiola - Servicio de gastroenterología. Año 2021 – 2022</w:t>
      </w:r>
      <w:r w:rsidR="00513F28">
        <w:rPr>
          <w:sz w:val="16"/>
          <w:szCs w:val="16"/>
        </w:rPr>
        <w:t>.</w:t>
      </w:r>
    </w:p>
    <w:p w:rsidR="00513F28" w:rsidRPr="00513F28" w:rsidRDefault="00513F28" w:rsidP="00535B3F">
      <w:pPr>
        <w:pStyle w:val="LeyendaTabla"/>
        <w:jc w:val="left"/>
        <w:rPr>
          <w:sz w:val="16"/>
          <w:szCs w:val="16"/>
        </w:rPr>
      </w:pPr>
    </w:p>
    <w:p w:rsidR="00574079" w:rsidRDefault="00574079" w:rsidP="00574079">
      <w:r>
        <w:t xml:space="preserve">Del total de pacientes, se observó que el 57,7% (N=145) de los casos fueron positivos para IgG DGP. De ellos, sólo el 16,5% (N=24) se confirmaron verdaderos positivos mediante anatomía patológica positiva. Es decir que según la clasificación de Marsh como </w:t>
      </w:r>
      <w:proofErr w:type="spellStart"/>
      <w:r>
        <w:t>gold</w:t>
      </w:r>
      <w:proofErr w:type="spellEnd"/>
      <w:r>
        <w:t xml:space="preserve"> standard, se diagnosticaron un total de 24 pacientes con EC, lo que corresponde a un 9,5 % del total de la muestra.</w:t>
      </w:r>
    </w:p>
    <w:p w:rsidR="00574079" w:rsidRDefault="00574079" w:rsidP="00574079">
      <w:r>
        <w:t>Se calcularon los valores de exactitud diagnóstica de IgG DGP para el punto de corte utilizado actualmente en la CURF para diagnóstico de EC: mayor o igual a 10 U/ml (</w:t>
      </w:r>
      <w:r w:rsidR="00513F28">
        <w:t>Tabla 4</w:t>
      </w:r>
      <w:r>
        <w:t>).</w:t>
      </w:r>
    </w:p>
    <w:p w:rsidR="00574079" w:rsidRDefault="00574079" w:rsidP="00574079">
      <w:r>
        <w:t xml:space="preserve">Se realizó una curva ROC para el mismo valor y se obtuvo que el valor de área bajo la curva fue </w:t>
      </w:r>
      <w:r>
        <w:t>de 0,89, considerado aceptable para la prueba diagnóstica (Figura 1).</w:t>
      </w:r>
    </w:p>
    <w:p w:rsidR="00574079" w:rsidRDefault="00574079" w:rsidP="00574079">
      <w:r>
        <w:t>Se realizaron simultáneamente las curvas de sensibilidad y especificidad para IgG DGP (Figura 2). Se determinó que el valor de corte o “</w:t>
      </w:r>
      <w:proofErr w:type="spellStart"/>
      <w:r>
        <w:t>threshold</w:t>
      </w:r>
      <w:proofErr w:type="spellEnd"/>
      <w:r>
        <w:t>” es aproximadamente 25 UI/mL según los valores de ambas curvas.</w:t>
      </w:r>
    </w:p>
    <w:p w:rsidR="00574079" w:rsidRDefault="00574079" w:rsidP="00574079">
      <w:r>
        <w:t xml:space="preserve">En base a los resultados de los gráficos se estudiaron los valores de exactitud diagnóstica de IgG DGP para un punto de corte sugerido mayor o igual a 25 U/ml (Tabla </w:t>
      </w:r>
      <w:r w:rsidR="00513F28">
        <w:t>5</w:t>
      </w:r>
      <w:r>
        <w:t>)</w:t>
      </w:r>
    </w:p>
    <w:p w:rsidR="00513F28" w:rsidRDefault="00574079" w:rsidP="00574079">
      <w:r>
        <w:t>También se realizó curva ROC de sensibilidad y especificidad para IgA-anti tTG (</w:t>
      </w:r>
      <w:r>
        <w:rPr>
          <w:rFonts w:ascii="Cambria Math" w:hAnsi="Cambria Math" w:cs="Cambria Math"/>
        </w:rPr>
        <w:t>≧</w:t>
      </w:r>
      <w:r>
        <w:t xml:space="preserve">12 U/l), y se obtuvo un área bajo la curva de 0,93 que fue mayor comparativamente a la IgG DGP (Figura 3). Además, se estudiaron los valores de exactitud diagnóstica de IgA anti </w:t>
      </w:r>
      <w:proofErr w:type="spellStart"/>
      <w:r>
        <w:t>tTG</w:t>
      </w:r>
      <w:proofErr w:type="spellEnd"/>
      <w:r>
        <w:t xml:space="preserve"> (Tabla </w:t>
      </w:r>
      <w:r w:rsidR="00513F28">
        <w:t>6</w:t>
      </w:r>
      <w:r>
        <w:t>)</w:t>
      </w:r>
    </w:p>
    <w:p w:rsidR="008B5941" w:rsidRDefault="008B5941" w:rsidP="00574079"/>
    <w:p w:rsidR="007A2A75" w:rsidRDefault="007A2A75" w:rsidP="007A2A75">
      <w:pPr>
        <w:pStyle w:val="LeyendaTabla"/>
        <w:jc w:val="left"/>
      </w:pPr>
      <w:r w:rsidRPr="007A2A75">
        <w:rPr>
          <w:b/>
        </w:rPr>
        <w:t xml:space="preserve">Tabla </w:t>
      </w:r>
      <w:r w:rsidR="008A4EAD">
        <w:rPr>
          <w:b/>
        </w:rPr>
        <w:t>4</w:t>
      </w:r>
      <w:r w:rsidRPr="007A2A75">
        <w:rPr>
          <w:b/>
        </w:rPr>
        <w:t>.</w:t>
      </w:r>
      <w:r>
        <w:t xml:space="preserve"> </w:t>
      </w:r>
      <w:r w:rsidRPr="007A2A75">
        <w:t>Precisión de la IgG-GdP ≥10 U/ml para el diagnóstico de enfermedad celíaca.</w:t>
      </w:r>
    </w:p>
    <w:p w:rsidR="007A2A75" w:rsidRDefault="007A2A75" w:rsidP="00574079">
      <w:r w:rsidRPr="007A2A75">
        <w:rPr>
          <w:noProof/>
          <w:lang w:val="es-AR" w:eastAsia="es-AR"/>
        </w:rPr>
        <w:drawing>
          <wp:inline distT="0" distB="0" distL="0" distR="0" wp14:anchorId="408CDFEA" wp14:editId="090AEC20">
            <wp:extent cx="2466975" cy="261339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4692" cy="2621571"/>
                    </a:xfrm>
                    <a:prstGeom prst="rect">
                      <a:avLst/>
                    </a:prstGeom>
                  </pic:spPr>
                </pic:pic>
              </a:graphicData>
            </a:graphic>
          </wp:inline>
        </w:drawing>
      </w:r>
    </w:p>
    <w:p w:rsidR="00377223" w:rsidRDefault="007A2A75" w:rsidP="007A2A75">
      <w:pPr>
        <w:pStyle w:val="LeyendaTabla"/>
        <w:jc w:val="left"/>
      </w:pPr>
      <w:r w:rsidRPr="00513F28">
        <w:rPr>
          <w:sz w:val="16"/>
          <w:szCs w:val="16"/>
        </w:rPr>
        <w:t>*CPP: cociente de probabilidad positivo. Fuente: Clínica Universitaria Reina Fabiola - Servicio de gastroenterología. Año 2021 – 2022.</w:t>
      </w:r>
      <w:r w:rsidRPr="007A2A75">
        <w:rPr>
          <w:noProof/>
          <w:lang w:val="es-AR" w:eastAsia="es-AR"/>
        </w:rPr>
        <w:drawing>
          <wp:inline distT="0" distB="0" distL="0" distR="0" wp14:anchorId="28E8D997" wp14:editId="19C33804">
            <wp:extent cx="2275028" cy="226801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88792" cy="2281735"/>
                    </a:xfrm>
                    <a:prstGeom prst="rect">
                      <a:avLst/>
                    </a:prstGeom>
                  </pic:spPr>
                </pic:pic>
              </a:graphicData>
            </a:graphic>
          </wp:inline>
        </w:drawing>
      </w:r>
    </w:p>
    <w:p w:rsidR="007A2A75" w:rsidRDefault="00377223" w:rsidP="007A2A75">
      <w:pPr>
        <w:pStyle w:val="LeyendaTabla"/>
        <w:jc w:val="left"/>
      </w:pPr>
      <w:r>
        <w:rPr>
          <w:noProof/>
          <w:lang w:val="es-AR" w:eastAsia="es-AR"/>
        </w:rPr>
        <mc:AlternateContent>
          <mc:Choice Requires="wps">
            <w:drawing>
              <wp:anchor distT="0" distB="0" distL="114300" distR="114300" simplePos="0" relativeHeight="251752448" behindDoc="0" locked="0" layoutInCell="1" allowOverlap="1" wp14:anchorId="52C19F70" wp14:editId="690E6C91">
                <wp:simplePos x="0" y="0"/>
                <wp:positionH relativeFrom="rightMargin">
                  <wp:posOffset>115570</wp:posOffset>
                </wp:positionH>
                <wp:positionV relativeFrom="paragraph">
                  <wp:posOffset>363220</wp:posOffset>
                </wp:positionV>
                <wp:extent cx="425003" cy="379927"/>
                <wp:effectExtent l="0" t="0" r="13335" b="20320"/>
                <wp:wrapNone/>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853CA4" w:rsidRPr="00EB1E6E" w:rsidRDefault="00F442A2" w:rsidP="00853CA4">
                            <w:pPr>
                              <w:jc w:val="center"/>
                              <w:textDirection w:val="btLr"/>
                              <w:rPr>
                                <w:lang w:val="es-MX"/>
                              </w:rPr>
                            </w:pPr>
                            <w:r>
                              <w:rPr>
                                <w:b/>
                                <w:color w:val="FFFFFF"/>
                                <w:sz w:val="24"/>
                                <w:lang w:val="es-MX"/>
                              </w:rPr>
                              <w:t>20</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C19F70" id="_x0000_s1029" style="position:absolute;margin-left:9.1pt;margin-top:28.6pt;width:33.45pt;height:29.9pt;flip:x;z-index:251752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" fillcolor="#509d2f">
                <v:stroke startarrowwidth="narrow" startarrowlength="short" endarrowwidth="narrow" endarrowlength="short" joinstyle="round"/>
                <v:textbox inset="2.53958mm,1.2694mm,2.53958mm,1.2694mm">
                  <w:txbxContent>
                    <w:p w:rsidR="00853CA4" w:rsidRPr="00EB1E6E" w:rsidRDefault="00F442A2" w:rsidP="00853CA4">
                      <w:pPr>
                        <w:jc w:val="center"/>
                        <w:textDirection w:val="btLr"/>
                        <w:rPr>
                          <w:lang w:val="es-MX"/>
                        </w:rPr>
                      </w:pPr>
                      <w:r>
                        <w:rPr>
                          <w:b/>
                          <w:color w:val="FFFFFF"/>
                          <w:sz w:val="24"/>
                          <w:lang w:val="es-MX"/>
                        </w:rPr>
                        <w:t>20</w:t>
                      </w:r>
                    </w:p>
                  </w:txbxContent>
                </v:textbox>
                <w10:wrap anchorx="margin"/>
              </v:rect>
            </w:pict>
          </mc:Fallback>
        </mc:AlternateContent>
      </w:r>
      <w:r w:rsidR="007A2A75" w:rsidRPr="007A2A75">
        <w:rPr>
          <w:b/>
        </w:rPr>
        <w:t>Figura 1.</w:t>
      </w:r>
      <w:r w:rsidR="007A2A75" w:rsidRPr="007A2A75">
        <w:t xml:space="preserve"> Curva ROC de IgG-</w:t>
      </w:r>
      <w:proofErr w:type="spellStart"/>
      <w:r w:rsidR="007A2A75" w:rsidRPr="007A2A75">
        <w:t>GdP</w:t>
      </w:r>
      <w:proofErr w:type="spellEnd"/>
      <w:r w:rsidR="007A2A75" w:rsidRPr="007A2A75">
        <w:t xml:space="preserve"> </w:t>
      </w:r>
      <w:r w:rsidR="007A2A75" w:rsidRPr="007A2A75">
        <w:rPr>
          <w:rFonts w:ascii="Cambria Math" w:hAnsi="Cambria Math" w:cs="Cambria Math"/>
        </w:rPr>
        <w:t>≧</w:t>
      </w:r>
      <w:r w:rsidR="007A2A75" w:rsidRPr="007A2A75">
        <w:t>10 U/ml</w:t>
      </w:r>
    </w:p>
    <w:p w:rsidR="007A2A75" w:rsidRDefault="007A2A75" w:rsidP="007A2A75">
      <w:pPr>
        <w:pStyle w:val="LeyendaTabla"/>
        <w:jc w:val="left"/>
      </w:pPr>
      <w:r w:rsidRPr="007A2A75">
        <w:rPr>
          <w:noProof/>
          <w:lang w:val="es-AR" w:eastAsia="es-AR"/>
        </w:rPr>
        <w:lastRenderedPageBreak/>
        <w:drawing>
          <wp:inline distT="0" distB="0" distL="0" distR="0" wp14:anchorId="49E10874" wp14:editId="38FD326F">
            <wp:extent cx="2471420" cy="2733675"/>
            <wp:effectExtent l="0" t="0" r="508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71420" cy="2733675"/>
                    </a:xfrm>
                    <a:prstGeom prst="rect">
                      <a:avLst/>
                    </a:prstGeom>
                  </pic:spPr>
                </pic:pic>
              </a:graphicData>
            </a:graphic>
          </wp:inline>
        </w:drawing>
      </w:r>
    </w:p>
    <w:p w:rsidR="007A2A75" w:rsidRDefault="007A2A75" w:rsidP="007A2A75">
      <w:pPr>
        <w:pStyle w:val="LeyendaTabla"/>
        <w:jc w:val="left"/>
      </w:pPr>
      <w:r w:rsidRPr="007A2A75">
        <w:rPr>
          <w:b/>
        </w:rPr>
        <w:t>Figura 2.</w:t>
      </w:r>
      <w:r w:rsidRPr="007A2A75">
        <w:t xml:space="preserve"> Curva de sensibilidad y especificidad para IgG-GdP</w:t>
      </w:r>
    </w:p>
    <w:p w:rsidR="00377223" w:rsidRPr="00C6262A" w:rsidRDefault="00377223" w:rsidP="007A2A75">
      <w:pPr>
        <w:pStyle w:val="LeyendaTabla"/>
        <w:jc w:val="left"/>
        <w:rPr>
          <w:sz w:val="16"/>
          <w:szCs w:val="16"/>
        </w:rPr>
      </w:pPr>
      <w:r w:rsidRPr="00C6262A">
        <w:rPr>
          <w:sz w:val="16"/>
          <w:szCs w:val="16"/>
        </w:rPr>
        <w:t xml:space="preserve">Fuente: Clínica Universitaria Reina Fabiola - Servicio de gastroenterología. Año 2021 </w:t>
      </w:r>
      <w:r w:rsidR="00C6262A" w:rsidRPr="00C6262A">
        <w:rPr>
          <w:sz w:val="16"/>
          <w:szCs w:val="16"/>
        </w:rPr>
        <w:t>–</w:t>
      </w:r>
      <w:r w:rsidRPr="00C6262A">
        <w:rPr>
          <w:sz w:val="16"/>
          <w:szCs w:val="16"/>
        </w:rPr>
        <w:t xml:space="preserve"> 2022</w:t>
      </w:r>
    </w:p>
    <w:p w:rsidR="00C6262A" w:rsidRDefault="00C6262A" w:rsidP="007A2A75">
      <w:pPr>
        <w:pStyle w:val="LeyendaTabla"/>
        <w:jc w:val="left"/>
      </w:pPr>
    </w:p>
    <w:p w:rsidR="00377223" w:rsidRDefault="00377223" w:rsidP="007A2A75">
      <w:pPr>
        <w:pStyle w:val="LeyendaTabla"/>
        <w:jc w:val="left"/>
      </w:pPr>
    </w:p>
    <w:p w:rsidR="00377223" w:rsidRDefault="00377223" w:rsidP="007A2A75">
      <w:pPr>
        <w:pStyle w:val="LeyendaTabla"/>
        <w:jc w:val="left"/>
      </w:pPr>
      <w:r w:rsidRPr="00377223">
        <w:rPr>
          <w:b/>
        </w:rPr>
        <w:t xml:space="preserve">Tabla </w:t>
      </w:r>
      <w:r w:rsidR="008A4EAD">
        <w:rPr>
          <w:b/>
        </w:rPr>
        <w:t>5</w:t>
      </w:r>
      <w:r w:rsidRPr="00377223">
        <w:rPr>
          <w:b/>
        </w:rPr>
        <w:t>.</w:t>
      </w:r>
      <w:r w:rsidRPr="00377223">
        <w:t xml:space="preserve"> Exactitud diagnóstica de IgG-GdP </w:t>
      </w:r>
      <w:r w:rsidRPr="00377223">
        <w:rPr>
          <w:rFonts w:ascii="Cambria Math" w:hAnsi="Cambria Math" w:cs="Cambria Math"/>
        </w:rPr>
        <w:t>≧</w:t>
      </w:r>
      <w:r w:rsidRPr="00377223">
        <w:t>25 U/ml para el diagnóstico de enfermedad celíaca.</w:t>
      </w:r>
    </w:p>
    <w:p w:rsidR="00377223" w:rsidRDefault="00377223" w:rsidP="007A2A75">
      <w:pPr>
        <w:pStyle w:val="LeyendaTabla"/>
        <w:jc w:val="left"/>
      </w:pPr>
      <w:bookmarkStart w:id="2" w:name="_GoBack"/>
      <w:r w:rsidRPr="00377223">
        <w:rPr>
          <w:noProof/>
          <w:lang w:val="es-AR" w:eastAsia="es-AR"/>
        </w:rPr>
        <w:drawing>
          <wp:inline distT="0" distB="0" distL="0" distR="0" wp14:anchorId="1D7AA36C" wp14:editId="50007E12">
            <wp:extent cx="2471420" cy="295275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71420" cy="2952750"/>
                    </a:xfrm>
                    <a:prstGeom prst="rect">
                      <a:avLst/>
                    </a:prstGeom>
                  </pic:spPr>
                </pic:pic>
              </a:graphicData>
            </a:graphic>
          </wp:inline>
        </w:drawing>
      </w:r>
      <w:bookmarkEnd w:id="2"/>
    </w:p>
    <w:p w:rsidR="007A2A75" w:rsidRPr="008B5941" w:rsidRDefault="00377223" w:rsidP="007A2A75">
      <w:pPr>
        <w:pStyle w:val="LeyendaTabla"/>
        <w:jc w:val="left"/>
        <w:rPr>
          <w:sz w:val="16"/>
          <w:szCs w:val="16"/>
        </w:rPr>
      </w:pPr>
      <w:r w:rsidRPr="008B5941">
        <w:rPr>
          <w:sz w:val="16"/>
          <w:szCs w:val="16"/>
        </w:rPr>
        <w:t>* CPP: cociente de probabilidad positivo. Fuente: Clínica Universitaria Reina Fabiola - Servicio de gastroenterología. Año 2021 – 2022</w:t>
      </w:r>
    </w:p>
    <w:p w:rsidR="00377223" w:rsidRDefault="00377223" w:rsidP="007A2A75">
      <w:pPr>
        <w:pStyle w:val="LeyendaTabla"/>
        <w:jc w:val="left"/>
      </w:pPr>
      <w:r w:rsidRPr="00377223">
        <w:rPr>
          <w:noProof/>
          <w:lang w:val="es-AR" w:eastAsia="es-AR"/>
        </w:rPr>
        <w:drawing>
          <wp:inline distT="0" distB="0" distL="0" distR="0" wp14:anchorId="1E336526" wp14:editId="79E540F0">
            <wp:extent cx="1943041" cy="1853678"/>
            <wp:effectExtent l="0" t="0" r="63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960605" cy="1870434"/>
                    </a:xfrm>
                    <a:prstGeom prst="rect">
                      <a:avLst/>
                    </a:prstGeom>
                  </pic:spPr>
                </pic:pic>
              </a:graphicData>
            </a:graphic>
          </wp:inline>
        </w:drawing>
      </w:r>
    </w:p>
    <w:p w:rsidR="00377223" w:rsidRDefault="00377223" w:rsidP="007A2A75">
      <w:pPr>
        <w:pStyle w:val="LeyendaTabla"/>
        <w:jc w:val="left"/>
      </w:pPr>
      <w:r w:rsidRPr="00377223">
        <w:rPr>
          <w:b/>
        </w:rPr>
        <w:t>Figura 3.</w:t>
      </w:r>
      <w:r w:rsidRPr="00377223">
        <w:t xml:space="preserve"> Curva ROC IgA-anti tTG (</w:t>
      </w:r>
      <w:r w:rsidRPr="00377223">
        <w:rPr>
          <w:rFonts w:ascii="Cambria Math" w:hAnsi="Cambria Math" w:cs="Cambria Math"/>
        </w:rPr>
        <w:t>≧</w:t>
      </w:r>
      <w:r w:rsidRPr="00377223">
        <w:t>12 U/l)</w:t>
      </w:r>
    </w:p>
    <w:p w:rsidR="00377223" w:rsidRDefault="00377223" w:rsidP="007A2A75">
      <w:pPr>
        <w:pStyle w:val="LeyendaTabla"/>
        <w:jc w:val="left"/>
        <w:rPr>
          <w:sz w:val="16"/>
          <w:szCs w:val="16"/>
        </w:rPr>
      </w:pPr>
      <w:r w:rsidRPr="00377223">
        <w:rPr>
          <w:sz w:val="16"/>
          <w:szCs w:val="16"/>
        </w:rPr>
        <w:t xml:space="preserve">Fuente: Clínica Universitaria Reina Fabiola - Servicio de gastroenterología. Año 2021 </w:t>
      </w:r>
      <w:r>
        <w:rPr>
          <w:sz w:val="16"/>
          <w:szCs w:val="16"/>
        </w:rPr>
        <w:t>–</w:t>
      </w:r>
      <w:r w:rsidRPr="00377223">
        <w:rPr>
          <w:sz w:val="16"/>
          <w:szCs w:val="16"/>
        </w:rPr>
        <w:t xml:space="preserve"> 2022</w:t>
      </w:r>
    </w:p>
    <w:p w:rsidR="00665ECC" w:rsidRDefault="00665ECC" w:rsidP="007A2A75">
      <w:pPr>
        <w:pStyle w:val="LeyendaTabla"/>
        <w:jc w:val="left"/>
        <w:rPr>
          <w:sz w:val="16"/>
          <w:szCs w:val="16"/>
        </w:rPr>
      </w:pPr>
    </w:p>
    <w:p w:rsidR="00665ECC" w:rsidRPr="00665ECC" w:rsidRDefault="00665ECC" w:rsidP="007A2A75">
      <w:pPr>
        <w:pStyle w:val="LeyendaTabla"/>
        <w:jc w:val="left"/>
        <w:rPr>
          <w:szCs w:val="18"/>
        </w:rPr>
      </w:pPr>
      <w:r w:rsidRPr="00665ECC">
        <w:rPr>
          <w:b/>
          <w:szCs w:val="18"/>
        </w:rPr>
        <w:t xml:space="preserve">Tabla </w:t>
      </w:r>
      <w:r w:rsidR="008A4EAD">
        <w:rPr>
          <w:b/>
          <w:szCs w:val="18"/>
        </w:rPr>
        <w:t>6</w:t>
      </w:r>
      <w:r w:rsidRPr="00665ECC">
        <w:rPr>
          <w:szCs w:val="18"/>
        </w:rPr>
        <w:t xml:space="preserve">. Exactitud diagnóstica de IgA-anti tTG </w:t>
      </w:r>
      <w:r w:rsidRPr="00665ECC">
        <w:rPr>
          <w:rFonts w:ascii="Cambria Math" w:hAnsi="Cambria Math" w:cs="Cambria Math"/>
          <w:szCs w:val="18"/>
        </w:rPr>
        <w:t>≧</w:t>
      </w:r>
      <w:r w:rsidRPr="00665ECC">
        <w:rPr>
          <w:szCs w:val="18"/>
        </w:rPr>
        <w:t>12 U/l para el diagnóstico de enfermedad celíaca</w:t>
      </w:r>
    </w:p>
    <w:p w:rsidR="00377223" w:rsidRPr="00377223" w:rsidRDefault="00665ECC" w:rsidP="00377223">
      <w:pPr>
        <w:pStyle w:val="LeyendaTabla"/>
        <w:jc w:val="left"/>
        <w:rPr>
          <w:b/>
        </w:rPr>
      </w:pPr>
      <w:r w:rsidRPr="00665ECC">
        <w:rPr>
          <w:b/>
          <w:noProof/>
          <w:lang w:val="es-AR" w:eastAsia="es-AR"/>
        </w:rPr>
        <w:drawing>
          <wp:inline distT="0" distB="0" distL="0" distR="0" wp14:anchorId="613214FE" wp14:editId="10F3DA77">
            <wp:extent cx="2471420" cy="2758440"/>
            <wp:effectExtent l="0" t="0" r="508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71420" cy="2758440"/>
                    </a:xfrm>
                    <a:prstGeom prst="rect">
                      <a:avLst/>
                    </a:prstGeom>
                  </pic:spPr>
                </pic:pic>
              </a:graphicData>
            </a:graphic>
          </wp:inline>
        </w:drawing>
      </w:r>
    </w:p>
    <w:p w:rsidR="00377223" w:rsidRPr="00377223" w:rsidRDefault="00665ECC" w:rsidP="007A2A75">
      <w:pPr>
        <w:pStyle w:val="LeyendaTabla"/>
        <w:jc w:val="left"/>
        <w:rPr>
          <w:sz w:val="16"/>
          <w:szCs w:val="16"/>
        </w:rPr>
      </w:pPr>
      <w:r w:rsidRPr="00665ECC">
        <w:rPr>
          <w:sz w:val="16"/>
          <w:szCs w:val="16"/>
        </w:rPr>
        <w:t>* CPP: cociente de probabilidad positivo. Fuente: Clínica Universitaria Reina Fabiola - Servicio de gastroenterología. Año 2021 - 2022</w:t>
      </w:r>
    </w:p>
    <w:p w:rsidR="00574079" w:rsidRDefault="00574079" w:rsidP="00574079">
      <w:pPr>
        <w:pStyle w:val="Ttulo1"/>
      </w:pPr>
      <w:r>
        <w:t>Discusión</w:t>
      </w:r>
    </w:p>
    <w:p w:rsidR="00574079" w:rsidRDefault="00665ECC" w:rsidP="00574079">
      <w:pPr>
        <w:rPr>
          <w:noProof/>
          <w:lang w:val="es-AR" w:eastAsia="es-AR"/>
        </w:rPr>
      </w:pPr>
      <w:r>
        <w:rPr>
          <w:noProof/>
          <w:lang w:val="es-AR" w:eastAsia="es-AR"/>
        </w:rPr>
        <mc:AlternateContent>
          <mc:Choice Requires="wps">
            <w:drawing>
              <wp:anchor distT="0" distB="0" distL="114300" distR="114300" simplePos="0" relativeHeight="251756544" behindDoc="0" locked="0" layoutInCell="1" allowOverlap="1" wp14:anchorId="771927B6" wp14:editId="1B156795">
                <wp:simplePos x="0" y="0"/>
                <wp:positionH relativeFrom="rightMargin">
                  <wp:posOffset>71755</wp:posOffset>
                </wp:positionH>
                <wp:positionV relativeFrom="paragraph">
                  <wp:posOffset>2332990</wp:posOffset>
                </wp:positionV>
                <wp:extent cx="425003" cy="379927"/>
                <wp:effectExtent l="0" t="0" r="13335" b="20320"/>
                <wp:wrapNone/>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665ECC" w:rsidRPr="00EB1E6E" w:rsidRDefault="00C6262A" w:rsidP="00665ECC">
                            <w:pPr>
                              <w:jc w:val="center"/>
                              <w:textDirection w:val="btLr"/>
                              <w:rPr>
                                <w:lang w:val="es-MX"/>
                              </w:rPr>
                            </w:pPr>
                            <w:r>
                              <w:rPr>
                                <w:b/>
                                <w:color w:val="FFFFFF"/>
                                <w:sz w:val="24"/>
                                <w:lang w:val="es-MX"/>
                              </w:rPr>
                              <w:t>21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1927B6" id="_x0000_s1030" style="position:absolute;left:0;text-align:left;margin-left:5.65pt;margin-top:183.7pt;width:33.45pt;height:29.9pt;flip:x;z-index:251756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" fillcolor="#509d2f">
                <v:stroke startarrowwidth="narrow" startarrowlength="short" endarrowwidth="narrow" endarrowlength="short" joinstyle="round"/>
                <v:textbox inset="2.53958mm,1.2694mm,2.53958mm,1.2694mm">
                  <w:txbxContent>
                    <w:p w:rsidR="00665ECC" w:rsidRPr="00EB1E6E" w:rsidRDefault="00C6262A" w:rsidP="00665ECC">
                      <w:pPr>
                        <w:jc w:val="center"/>
                        <w:textDirection w:val="btLr"/>
                        <w:rPr>
                          <w:lang w:val="es-MX"/>
                        </w:rPr>
                      </w:pPr>
                      <w:r>
                        <w:rPr>
                          <w:b/>
                          <w:color w:val="FFFFFF"/>
                          <w:sz w:val="24"/>
                          <w:lang w:val="es-MX"/>
                        </w:rPr>
                        <w:t>21</w:t>
                      </w:r>
                    </w:p>
                  </w:txbxContent>
                </v:textbox>
                <w10:wrap anchorx="margin"/>
              </v:rect>
            </w:pict>
          </mc:Fallback>
        </mc:AlternateContent>
      </w:r>
      <w:r w:rsidR="00574079" w:rsidRPr="00574079">
        <w:t xml:space="preserve"> </w:t>
      </w:r>
      <w:r w:rsidR="00574079" w:rsidRPr="00574079">
        <w:rPr>
          <w:noProof/>
          <w:lang w:val="es-AR" w:eastAsia="es-AR"/>
        </w:rPr>
        <w:t>En el presente estudio, en el que se evaluaron pacientes con sospecha de EC, quienes contaban con anatomía patológica y serología, se demostró que el valor de corte utilizado para la IgG DGP en nuestro medio, presenta una sensibilidad alta (92,3%) pero una especificidad baja (46,2%) con una exactitud diagnóstica de 51,03%. Estos valores difieren de los reportados en la bibliografía. Por ejemplo, Oyaert et al determinaron una sensibilidad de 89.7% y una especificidad de 97.1% para un valor de corte de 10  UI/mL</w:t>
      </w:r>
      <w:r w:rsidR="00335630" w:rsidRPr="00335630">
        <w:rPr>
          <w:noProof/>
          <w:vertAlign w:val="superscript"/>
          <w:lang w:val="es-AR" w:eastAsia="es-AR"/>
        </w:rPr>
        <w:t>6</w:t>
      </w:r>
      <w:r w:rsidR="00574079" w:rsidRPr="00574079">
        <w:rPr>
          <w:noProof/>
          <w:lang w:val="es-AR" w:eastAsia="es-AR"/>
        </w:rPr>
        <w:t xml:space="preserve">. Ignazio Brusca en una revisión informó sensibilidad y especificidad mayores al 90%⁷. En un análisis realizado en Canadá se </w:t>
      </w:r>
      <w:r w:rsidR="00574079" w:rsidRPr="00574079">
        <w:rPr>
          <w:noProof/>
          <w:lang w:val="es-AR" w:eastAsia="es-AR"/>
        </w:rPr>
        <w:lastRenderedPageBreak/>
        <w:t>describió una sensibilidad de 88,4% y especificidad de 95,2%</w:t>
      </w:r>
      <w:r w:rsidR="00335630" w:rsidRPr="00335630">
        <w:rPr>
          <w:noProof/>
          <w:vertAlign w:val="superscript"/>
          <w:lang w:val="es-AR" w:eastAsia="es-AR"/>
        </w:rPr>
        <w:t>12</w:t>
      </w:r>
      <w:r w:rsidR="00335630">
        <w:rPr>
          <w:noProof/>
          <w:lang w:val="es-AR" w:eastAsia="es-AR"/>
        </w:rPr>
        <w:t>.</w:t>
      </w:r>
    </w:p>
    <w:p w:rsidR="00836A05" w:rsidRDefault="00836A05" w:rsidP="00836A05">
      <w:r>
        <w:t>En este estudio hemos demostrado que en nuestro medio el punto de corte sugerido donde la sensibilidad y especificidad se aproximan, es de 25 UI/mL. El mismo presenta una sensibilidad de 84,6% con una especificidad de 85,8% y una exactitud diagnóstica de 85,7%. Coincide con lo observado en el trabajo de Crivelli y col que encontraron un valor de corte óptimo de 27 UI/mL, trabajo realizado también en la ciudad de Córdoba, pero en población pediátrica</w:t>
      </w:r>
      <w:r w:rsidRPr="00335630">
        <w:rPr>
          <w:vertAlign w:val="superscript"/>
        </w:rPr>
        <w:t>13</w:t>
      </w:r>
      <w:r>
        <w:t>. Estos valores se acercan más al objetivo de disminuir la cantidad de estudios invasivos y costosos, pero a su vez no excluir pacientes probables positivos. El valor de corte ideal para IgG DGP obtenido en este estudio fue diferente del sugerido por el fabricante ORGENTEC® (</w:t>
      </w:r>
      <w:r w:rsidR="00853CA4">
        <w:t>25 UI</w:t>
      </w:r>
      <w:r>
        <w:t xml:space="preserve">/mL vs </w:t>
      </w:r>
      <w:r w:rsidR="00853CA4">
        <w:t>10 UI</w:t>
      </w:r>
      <w:r>
        <w:t>/mL). Esto podría deberse a las características de la población de nuestro medio y a las condiciones de cada laboratorio en particular donde se llevaron a cabo los estudios, lo que refuerza la indicación de que cada institución debe establecer sus propios valores de corte.</w:t>
      </w:r>
    </w:p>
    <w:p w:rsidR="00836A05" w:rsidRDefault="00836A05" w:rsidP="00836A05">
      <w:r>
        <w:t xml:space="preserve">Las pruebas serológicas que incluyen los paneles de detección para la enfermedad celíaca son </w:t>
      </w:r>
      <w:r w:rsidR="00853CA4">
        <w:t>costosas</w:t>
      </w:r>
      <w:r>
        <w:t>, y más aún cuando los resultados son discordantes y conducen a un dilema de diagnóstico necesitando de pruebas más invasivas. Aunque muchos estudios han investigado la utilidad de la IgG DGP poco se sabe sobre su óptimo valor de corte y qué conducta tomar frente a un valor positivo asociado a IgA-anti tTG negativa. Un estudio concluyó que IgA-anti tTG sigue siendo superior a IgG DGP, y que la combinación de los 2 ensayos aumentaría tanto el costo como el número de biopsias duodenales innecesarias</w:t>
      </w:r>
      <w:r w:rsidR="00335630" w:rsidRPr="00335630">
        <w:rPr>
          <w:vertAlign w:val="superscript"/>
        </w:rPr>
        <w:t>11</w:t>
      </w:r>
      <w:r>
        <w:t>. En este trabajo se calculó la exactitud diagnóstica para IgA-anti tTG y si bien es superior a la de IgG DGP, optimizando su valor de corte, esta última podría ser utilizada en nuestro medio como método de cribado en caso de contar eventualmente con la presencia de déficit de IgA total.</w:t>
      </w:r>
    </w:p>
    <w:p w:rsidR="00836A05" w:rsidRDefault="00836A05" w:rsidP="00836A05">
      <w:r>
        <w:t>Este estudio cuenta con tamaño muestral importante, con resultados aplicables en nuestro medio. Sin embargo, la limitación es su carácter transversal. Nuevos estudios podrían analizar la evolución clínica de los pacientes con valores de IgG DGP entre 10-25 U/ml y el comportamiento de la curva serológica determinando así, si es necesaria una nueva endoscopia digestiva.</w:t>
      </w:r>
    </w:p>
    <w:p w:rsidR="005C7C78" w:rsidRPr="00665ECC" w:rsidRDefault="005C7C78" w:rsidP="00665ECC">
      <w:pPr>
        <w:pStyle w:val="Ttulo1"/>
      </w:pPr>
      <w:r w:rsidRPr="00665ECC">
        <w:t>Conclusión</w:t>
      </w:r>
    </w:p>
    <w:p w:rsidR="00836A05" w:rsidRDefault="00836A05" w:rsidP="00665ECC">
      <w:pPr>
        <w:rPr>
          <w:b/>
          <w:bCs/>
        </w:rPr>
      </w:pPr>
      <w:r w:rsidRPr="00836A05">
        <w:t xml:space="preserve">La sensibilidad y especificidad para IgG DGP con un </w:t>
      </w:r>
      <w:r w:rsidRPr="00665ECC">
        <w:t>valor de corte mayor o igual a 10 UI/mL es de 92,3% y 46,2% respectivamente, con una exactitud diagnóstica de 51,03%. El punto de corte sugerido según este estudio es mayor o igual a 25 UI/mL ; según el cual la especificidad sería de 85,8% y la exactitud diagnóstica, de 85,7%. Utilizando este valor se podría disminuir la realización de biopsias duodenales a causa de resultados falsos positivos de IgG DGP</w:t>
      </w:r>
      <w:r w:rsidRPr="00836A05">
        <w:t xml:space="preserve">. </w:t>
      </w:r>
    </w:p>
    <w:p w:rsidR="00E63125" w:rsidRPr="00E63125" w:rsidRDefault="00E63125" w:rsidP="00E63125">
      <w:pPr>
        <w:pStyle w:val="Ttulo1"/>
      </w:pPr>
      <w:r w:rsidRPr="00E63125">
        <w:t>Bibliografía</w:t>
      </w:r>
    </w:p>
    <w:p w:rsidR="00836A05" w:rsidRPr="00836A05" w:rsidRDefault="00E63125" w:rsidP="00853CA4">
      <w:pPr>
        <w:pStyle w:val="Biblio"/>
        <w:rPr>
          <w:lang w:val="en-US"/>
        </w:rPr>
      </w:pPr>
      <w:r>
        <w:t>1.</w:t>
      </w:r>
      <w:r w:rsidR="00836A05">
        <w:t xml:space="preserve">Caio G, Volta U, </w:t>
      </w:r>
      <w:proofErr w:type="spellStart"/>
      <w:r w:rsidR="00836A05">
        <w:t>Sapone</w:t>
      </w:r>
      <w:proofErr w:type="spellEnd"/>
      <w:r w:rsidR="00836A05">
        <w:t xml:space="preserve"> A, </w:t>
      </w:r>
      <w:proofErr w:type="spellStart"/>
      <w:r w:rsidR="00836A05">
        <w:t>Leffler</w:t>
      </w:r>
      <w:proofErr w:type="spellEnd"/>
      <w:r w:rsidR="00836A05">
        <w:t xml:space="preserve"> D et al. </w:t>
      </w:r>
      <w:r w:rsidR="00836A05" w:rsidRPr="00836A05">
        <w:rPr>
          <w:lang w:val="en-US"/>
        </w:rPr>
        <w:t>“Celiac disease: a comprehensive current review.” BMC Medicine 2019 vol. 17,1 142.</w:t>
      </w:r>
    </w:p>
    <w:p w:rsidR="00836A05" w:rsidRPr="00836A05" w:rsidRDefault="00836A05" w:rsidP="00853CA4">
      <w:pPr>
        <w:pStyle w:val="Biblio"/>
        <w:rPr>
          <w:lang w:val="en-US"/>
        </w:rPr>
      </w:pPr>
      <w:r w:rsidRPr="00836A05">
        <w:rPr>
          <w:lang w:val="en-US"/>
        </w:rPr>
        <w:t>2</w:t>
      </w:r>
      <w:r>
        <w:rPr>
          <w:lang w:val="en-US"/>
        </w:rPr>
        <w:t>.</w:t>
      </w:r>
      <w:r w:rsidRPr="00836A05">
        <w:rPr>
          <w:lang w:val="en-US"/>
        </w:rPr>
        <w:t xml:space="preserve"> </w:t>
      </w:r>
      <w:proofErr w:type="spellStart"/>
      <w:r w:rsidRPr="00836A05">
        <w:rPr>
          <w:lang w:val="en-US"/>
        </w:rPr>
        <w:t>Tye</w:t>
      </w:r>
      <w:proofErr w:type="spellEnd"/>
      <w:r w:rsidRPr="00836A05">
        <w:rPr>
          <w:lang w:val="en-US"/>
        </w:rPr>
        <w:t xml:space="preserve">- Din J.A “Review article: Follow- up of coeliac disease “Aliment </w:t>
      </w:r>
      <w:proofErr w:type="spellStart"/>
      <w:r w:rsidRPr="00836A05">
        <w:rPr>
          <w:lang w:val="en-US"/>
        </w:rPr>
        <w:t>Pharmacol</w:t>
      </w:r>
      <w:proofErr w:type="spellEnd"/>
      <w:r w:rsidRPr="00836A05">
        <w:rPr>
          <w:lang w:val="en-US"/>
        </w:rPr>
        <w:t xml:space="preserve"> </w:t>
      </w:r>
      <w:proofErr w:type="spellStart"/>
      <w:r w:rsidRPr="00836A05">
        <w:rPr>
          <w:lang w:val="en-US"/>
        </w:rPr>
        <w:t>Ther</w:t>
      </w:r>
      <w:proofErr w:type="spellEnd"/>
      <w:r w:rsidRPr="00836A05">
        <w:rPr>
          <w:lang w:val="en-US"/>
        </w:rPr>
        <w:t xml:space="preserve">. 2022; 56 (Suppl.1):49–63. </w:t>
      </w:r>
    </w:p>
    <w:p w:rsidR="00836A05" w:rsidRPr="00836A05" w:rsidRDefault="00836A05" w:rsidP="00853CA4">
      <w:pPr>
        <w:pStyle w:val="Biblio"/>
        <w:rPr>
          <w:lang w:val="en-US"/>
        </w:rPr>
      </w:pPr>
      <w:r w:rsidRPr="00836A05">
        <w:rPr>
          <w:lang w:val="en-US"/>
        </w:rPr>
        <w:t xml:space="preserve">3.Losurdo G, Di Leo M, </w:t>
      </w:r>
      <w:proofErr w:type="spellStart"/>
      <w:r w:rsidRPr="00836A05">
        <w:rPr>
          <w:lang w:val="en-US"/>
        </w:rPr>
        <w:t>Santamato</w:t>
      </w:r>
      <w:proofErr w:type="spellEnd"/>
      <w:r w:rsidRPr="00836A05">
        <w:rPr>
          <w:lang w:val="en-US"/>
        </w:rPr>
        <w:t xml:space="preserve"> E, Arena M, </w:t>
      </w:r>
      <w:proofErr w:type="spellStart"/>
      <w:r w:rsidRPr="00836A05">
        <w:rPr>
          <w:lang w:val="en-US"/>
        </w:rPr>
        <w:t>Rendina</w:t>
      </w:r>
      <w:proofErr w:type="spellEnd"/>
      <w:r w:rsidRPr="00836A05">
        <w:rPr>
          <w:lang w:val="en-US"/>
        </w:rPr>
        <w:t xml:space="preserve"> M, </w:t>
      </w:r>
      <w:proofErr w:type="spellStart"/>
      <w:r w:rsidRPr="00836A05">
        <w:rPr>
          <w:lang w:val="en-US"/>
        </w:rPr>
        <w:t>Luigiano</w:t>
      </w:r>
      <w:proofErr w:type="spellEnd"/>
      <w:r w:rsidRPr="00836A05">
        <w:rPr>
          <w:lang w:val="en-US"/>
        </w:rPr>
        <w:t xml:space="preserve"> C, </w:t>
      </w:r>
      <w:proofErr w:type="spellStart"/>
      <w:r w:rsidRPr="00836A05">
        <w:rPr>
          <w:lang w:val="en-US"/>
        </w:rPr>
        <w:t>Ierardi</w:t>
      </w:r>
      <w:proofErr w:type="spellEnd"/>
      <w:r w:rsidRPr="00836A05">
        <w:rPr>
          <w:lang w:val="en-US"/>
        </w:rPr>
        <w:t xml:space="preserve"> E, Di Leo A. “Serologic diagnosis of celiac disease: May it be suitable for adults?”. World J Gastroenterol. Nov 14 2021; 27(42):7233-7239.</w:t>
      </w:r>
    </w:p>
    <w:p w:rsidR="00836A05" w:rsidRPr="00836A05" w:rsidRDefault="00836A05" w:rsidP="00853CA4">
      <w:pPr>
        <w:pStyle w:val="Biblio"/>
        <w:rPr>
          <w:lang w:val="en-US"/>
        </w:rPr>
      </w:pPr>
      <w:r w:rsidRPr="00836A05">
        <w:rPr>
          <w:lang w:val="en-US"/>
        </w:rPr>
        <w:t xml:space="preserve">4.Abdulbaqi Al-Toma, Umberto Volta, Renata </w:t>
      </w:r>
      <w:proofErr w:type="spellStart"/>
      <w:r w:rsidRPr="00836A05">
        <w:rPr>
          <w:lang w:val="en-US"/>
        </w:rPr>
        <w:t>Auricchio</w:t>
      </w:r>
      <w:proofErr w:type="spellEnd"/>
      <w:r w:rsidRPr="00836A05">
        <w:rPr>
          <w:lang w:val="en-US"/>
        </w:rPr>
        <w:t xml:space="preserve">, *, Gemma </w:t>
      </w:r>
      <w:proofErr w:type="spellStart"/>
      <w:r w:rsidRPr="00836A05">
        <w:rPr>
          <w:lang w:val="en-US"/>
        </w:rPr>
        <w:t>Castillejo</w:t>
      </w:r>
      <w:proofErr w:type="spellEnd"/>
      <w:r w:rsidRPr="00836A05">
        <w:rPr>
          <w:lang w:val="en-US"/>
        </w:rPr>
        <w:t xml:space="preserve">, David S Sanders, Christophe </w:t>
      </w:r>
      <w:proofErr w:type="spellStart"/>
      <w:proofErr w:type="gramStart"/>
      <w:r w:rsidRPr="00836A05">
        <w:rPr>
          <w:lang w:val="en-US"/>
        </w:rPr>
        <w:t>Cellier</w:t>
      </w:r>
      <w:proofErr w:type="spellEnd"/>
      <w:r w:rsidRPr="00836A05">
        <w:rPr>
          <w:lang w:val="en-US"/>
        </w:rPr>
        <w:t xml:space="preserve"> ,</w:t>
      </w:r>
      <w:proofErr w:type="gramEnd"/>
      <w:r w:rsidRPr="00836A05">
        <w:rPr>
          <w:lang w:val="en-US"/>
        </w:rPr>
        <w:t xml:space="preserve"> Chris J Mulder and Knut E A Lundin. European Society for the Study of Coeliac Disease (</w:t>
      </w:r>
      <w:proofErr w:type="spellStart"/>
      <w:r w:rsidRPr="00836A05">
        <w:rPr>
          <w:lang w:val="en-US"/>
        </w:rPr>
        <w:t>ESsCD</w:t>
      </w:r>
      <w:proofErr w:type="spellEnd"/>
      <w:r w:rsidRPr="00836A05">
        <w:rPr>
          <w:lang w:val="en-US"/>
        </w:rPr>
        <w:t xml:space="preserve">) guideline for coeliac disease and other gluten-related disorders 2019 United European Gastroenterology Journal, Vol. 7(5) 583–613 </w:t>
      </w:r>
      <w:proofErr w:type="spellStart"/>
      <w:r w:rsidRPr="00836A05">
        <w:rPr>
          <w:lang w:val="en-US"/>
        </w:rPr>
        <w:t>LundinRubio</w:t>
      </w:r>
      <w:proofErr w:type="spellEnd"/>
      <w:r w:rsidRPr="00836A05">
        <w:rPr>
          <w:lang w:val="en-US"/>
        </w:rPr>
        <w:t>-Tapia A, Hill ID, Kelly CP, Calderwood AH, Murray JA. “ACG clinical guidelines: diagnosis and management of celiac disease”. Am J Gastroenterology. 2013; 108(5):656-76.</w:t>
      </w:r>
    </w:p>
    <w:p w:rsidR="00836A05" w:rsidRPr="00836A05" w:rsidRDefault="00836A05" w:rsidP="00853CA4">
      <w:pPr>
        <w:pStyle w:val="Biblio"/>
        <w:rPr>
          <w:lang w:val="en-US"/>
        </w:rPr>
      </w:pPr>
      <w:r w:rsidRPr="00836A05">
        <w:rPr>
          <w:lang w:val="en-US"/>
        </w:rPr>
        <w:t xml:space="preserve">5.Husby S, </w:t>
      </w:r>
      <w:proofErr w:type="spellStart"/>
      <w:r w:rsidRPr="00836A05">
        <w:rPr>
          <w:lang w:val="en-US"/>
        </w:rPr>
        <w:t>Koletzko</w:t>
      </w:r>
      <w:proofErr w:type="spellEnd"/>
      <w:r w:rsidRPr="00836A05">
        <w:rPr>
          <w:lang w:val="en-US"/>
        </w:rPr>
        <w:t xml:space="preserve"> S, </w:t>
      </w:r>
      <w:proofErr w:type="spellStart"/>
      <w:r w:rsidRPr="00836A05">
        <w:rPr>
          <w:lang w:val="en-US"/>
        </w:rPr>
        <w:t>Korponay</w:t>
      </w:r>
      <w:proofErr w:type="spellEnd"/>
      <w:r w:rsidRPr="00836A05">
        <w:rPr>
          <w:lang w:val="en-US"/>
        </w:rPr>
        <w:t xml:space="preserve">-Szabo IR, </w:t>
      </w:r>
      <w:proofErr w:type="spellStart"/>
      <w:r w:rsidRPr="00836A05">
        <w:rPr>
          <w:lang w:val="en-US"/>
        </w:rPr>
        <w:t>Mearin</w:t>
      </w:r>
      <w:proofErr w:type="spellEnd"/>
      <w:r w:rsidRPr="00836A05">
        <w:rPr>
          <w:lang w:val="en-US"/>
        </w:rPr>
        <w:t xml:space="preserve"> ML, Phillips A, Shamir R. “European Society for Pediatric Gastroenterology, Hepatology, and Nutrition Guidelines for the Diagnosis of Coeliac Disease”. 2012; (54): 136–160.</w:t>
      </w:r>
    </w:p>
    <w:p w:rsidR="00836A05" w:rsidRPr="00836A05" w:rsidRDefault="00836A05" w:rsidP="00853CA4">
      <w:pPr>
        <w:pStyle w:val="Biblio"/>
        <w:rPr>
          <w:lang w:val="en-US"/>
        </w:rPr>
      </w:pPr>
      <w:r w:rsidRPr="00836A05">
        <w:rPr>
          <w:lang w:val="en-US"/>
        </w:rPr>
        <w:t xml:space="preserve">6.Oyaert M, Vermeersch P, De </w:t>
      </w:r>
      <w:proofErr w:type="spellStart"/>
      <w:r w:rsidRPr="00836A05">
        <w:rPr>
          <w:lang w:val="en-US"/>
        </w:rPr>
        <w:t>Hertogh</w:t>
      </w:r>
      <w:proofErr w:type="spellEnd"/>
      <w:r w:rsidRPr="00836A05">
        <w:rPr>
          <w:lang w:val="en-US"/>
        </w:rPr>
        <w:t xml:space="preserve"> G, </w:t>
      </w:r>
      <w:proofErr w:type="spellStart"/>
      <w:r w:rsidRPr="00836A05">
        <w:rPr>
          <w:lang w:val="en-US"/>
        </w:rPr>
        <w:t>Hiele</w:t>
      </w:r>
      <w:proofErr w:type="spellEnd"/>
      <w:r w:rsidRPr="00836A05">
        <w:rPr>
          <w:lang w:val="en-US"/>
        </w:rPr>
        <w:t xml:space="preserve"> M, </w:t>
      </w:r>
      <w:proofErr w:type="spellStart"/>
      <w:r w:rsidRPr="00836A05">
        <w:rPr>
          <w:lang w:val="en-US"/>
        </w:rPr>
        <w:t>Vandeputte</w:t>
      </w:r>
      <w:proofErr w:type="spellEnd"/>
      <w:r w:rsidRPr="00836A05">
        <w:rPr>
          <w:lang w:val="en-US"/>
        </w:rPr>
        <w:t xml:space="preserve"> N, Hoffman I, </w:t>
      </w:r>
      <w:proofErr w:type="spellStart"/>
      <w:r w:rsidRPr="00836A05">
        <w:rPr>
          <w:lang w:val="en-US"/>
        </w:rPr>
        <w:t>Bossuyt</w:t>
      </w:r>
      <w:proofErr w:type="spellEnd"/>
      <w:r w:rsidRPr="00836A05">
        <w:rPr>
          <w:lang w:val="en-US"/>
        </w:rPr>
        <w:t xml:space="preserve"> X. “Combining antibody tests and taking into account antibody levels improves serologic diagnosis of celiac disease”. Clin Chem Lab Med 2015. 53(10):1537-46.</w:t>
      </w:r>
    </w:p>
    <w:p w:rsidR="00836A05" w:rsidRDefault="00665ECC" w:rsidP="00853CA4">
      <w:pPr>
        <w:pStyle w:val="Biblio"/>
      </w:pPr>
      <w:r>
        <w:rPr>
          <w:noProof/>
          <w:lang w:val="es-AR" w:eastAsia="es-AR"/>
        </w:rPr>
        <mc:AlternateContent>
          <mc:Choice Requires="wps">
            <w:drawing>
              <wp:anchor distT="0" distB="0" distL="114300" distR="114300" simplePos="0" relativeHeight="251758592" behindDoc="0" locked="0" layoutInCell="1" allowOverlap="1" wp14:anchorId="771927B6" wp14:editId="1B156795">
                <wp:simplePos x="0" y="0"/>
                <wp:positionH relativeFrom="rightMargin">
                  <wp:posOffset>138430</wp:posOffset>
                </wp:positionH>
                <wp:positionV relativeFrom="paragraph">
                  <wp:posOffset>733425</wp:posOffset>
                </wp:positionV>
                <wp:extent cx="425003" cy="379927"/>
                <wp:effectExtent l="0" t="0" r="13335" b="20320"/>
                <wp:wrapNone/>
                <wp:docPr id="30"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665ECC" w:rsidRPr="00EB1E6E" w:rsidRDefault="00C6262A" w:rsidP="00665ECC">
                            <w:pPr>
                              <w:jc w:val="center"/>
                              <w:textDirection w:val="btLr"/>
                              <w:rPr>
                                <w:lang w:val="es-MX"/>
                              </w:rPr>
                            </w:pPr>
                            <w:r>
                              <w:rPr>
                                <w:b/>
                                <w:color w:val="FFFFFF"/>
                                <w:sz w:val="24"/>
                                <w:lang w:val="es-MX"/>
                              </w:rPr>
                              <w:t>22</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1927B6" id="_x0000_s1031" style="position:absolute;left:0;text-align:left;margin-left:10.9pt;margin-top:57.75pt;width:33.45pt;height:29.9pt;flip:x;z-index:251758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" fillcolor="#509d2f">
                <v:stroke startarrowwidth="narrow" startarrowlength="short" endarrowwidth="narrow" endarrowlength="short" joinstyle="round"/>
                <v:textbox inset="2.53958mm,1.2694mm,2.53958mm,1.2694mm">
                  <w:txbxContent>
                    <w:p w:rsidR="00665ECC" w:rsidRPr="00EB1E6E" w:rsidRDefault="00C6262A" w:rsidP="00665ECC">
                      <w:pPr>
                        <w:jc w:val="center"/>
                        <w:textDirection w:val="btLr"/>
                        <w:rPr>
                          <w:lang w:val="es-MX"/>
                        </w:rPr>
                      </w:pPr>
                      <w:r>
                        <w:rPr>
                          <w:b/>
                          <w:color w:val="FFFFFF"/>
                          <w:sz w:val="24"/>
                          <w:lang w:val="es-MX"/>
                        </w:rPr>
                        <w:t>22</w:t>
                      </w:r>
                    </w:p>
                  </w:txbxContent>
                </v:textbox>
                <w10:wrap anchorx="margin"/>
              </v:rect>
            </w:pict>
          </mc:Fallback>
        </mc:AlternateContent>
      </w:r>
      <w:r w:rsidR="00836A05" w:rsidRPr="00836A05">
        <w:rPr>
          <w:lang w:val="en-US"/>
        </w:rPr>
        <w:t xml:space="preserve">7.Rasmus Iversen and </w:t>
      </w:r>
      <w:proofErr w:type="spellStart"/>
      <w:r w:rsidR="00836A05" w:rsidRPr="00836A05">
        <w:rPr>
          <w:lang w:val="en-US"/>
        </w:rPr>
        <w:t>Ludvig</w:t>
      </w:r>
      <w:proofErr w:type="spellEnd"/>
      <w:r w:rsidR="00836A05" w:rsidRPr="00836A05">
        <w:rPr>
          <w:lang w:val="en-US"/>
        </w:rPr>
        <w:t xml:space="preserve"> M. </w:t>
      </w:r>
      <w:proofErr w:type="spellStart"/>
      <w:r w:rsidR="00836A05" w:rsidRPr="00836A05">
        <w:rPr>
          <w:lang w:val="en-US"/>
        </w:rPr>
        <w:t>Sollid</w:t>
      </w:r>
      <w:proofErr w:type="spellEnd"/>
      <w:r w:rsidR="00836A05" w:rsidRPr="00836A05">
        <w:rPr>
          <w:lang w:val="en-US"/>
        </w:rPr>
        <w:t xml:space="preserve"> “The Immunobiology and Pathogenesis of Celiac Disease”.  </w:t>
      </w:r>
      <w:r w:rsidR="00836A05">
        <w:t xml:space="preserve">2023 Ann </w:t>
      </w:r>
      <w:proofErr w:type="spellStart"/>
      <w:r w:rsidR="00836A05">
        <w:t>Rev</w:t>
      </w:r>
      <w:proofErr w:type="spellEnd"/>
      <w:r w:rsidR="00836A05">
        <w:t xml:space="preserve"> </w:t>
      </w:r>
      <w:proofErr w:type="spellStart"/>
      <w:r w:rsidR="00836A05">
        <w:t>Pathol</w:t>
      </w:r>
      <w:proofErr w:type="spellEnd"/>
      <w:r w:rsidR="00836A05">
        <w:t xml:space="preserve"> 24:18:47-70. </w:t>
      </w:r>
    </w:p>
    <w:p w:rsidR="00836A05" w:rsidRPr="00F442A2" w:rsidRDefault="00836A05" w:rsidP="00853CA4">
      <w:pPr>
        <w:pStyle w:val="Biblio"/>
        <w:rPr>
          <w:lang w:val="es-AR"/>
        </w:rPr>
      </w:pPr>
      <w:r>
        <w:lastRenderedPageBreak/>
        <w:t xml:space="preserve">8.Jarmi V, Cejas N, Kiener O, de Elías R, Balzola S, Córdoba C, et al. “Exactitud diagnóstica de anticuerpos </w:t>
      </w:r>
      <w:proofErr w:type="spellStart"/>
      <w:r>
        <w:t>antipéptidos</w:t>
      </w:r>
      <w:proofErr w:type="spellEnd"/>
      <w:r>
        <w:t xml:space="preserve"> de gliadina </w:t>
      </w:r>
      <w:proofErr w:type="spellStart"/>
      <w:r>
        <w:t>deamidados</w:t>
      </w:r>
      <w:proofErr w:type="spellEnd"/>
      <w:r>
        <w:t xml:space="preserve">”. </w:t>
      </w:r>
      <w:r w:rsidRPr="00F442A2">
        <w:rPr>
          <w:lang w:val="es-AR"/>
        </w:rPr>
        <w:t xml:space="preserve">Acta </w:t>
      </w:r>
      <w:proofErr w:type="spellStart"/>
      <w:r w:rsidRPr="00F442A2">
        <w:rPr>
          <w:lang w:val="es-AR"/>
        </w:rPr>
        <w:t>Bioquím</w:t>
      </w:r>
      <w:proofErr w:type="spellEnd"/>
      <w:r w:rsidRPr="00F442A2">
        <w:rPr>
          <w:lang w:val="es-AR"/>
        </w:rPr>
        <w:t xml:space="preserve"> </w:t>
      </w:r>
      <w:proofErr w:type="spellStart"/>
      <w:r w:rsidRPr="00F442A2">
        <w:rPr>
          <w:lang w:val="es-AR"/>
        </w:rPr>
        <w:t>Clín</w:t>
      </w:r>
      <w:proofErr w:type="spellEnd"/>
      <w:r w:rsidRPr="00F442A2">
        <w:rPr>
          <w:lang w:val="es-AR"/>
        </w:rPr>
        <w:t xml:space="preserve"> </w:t>
      </w:r>
      <w:proofErr w:type="spellStart"/>
      <w:r w:rsidRPr="00F442A2">
        <w:rPr>
          <w:lang w:val="es-AR"/>
        </w:rPr>
        <w:t>Latinoam</w:t>
      </w:r>
      <w:proofErr w:type="spellEnd"/>
      <w:r w:rsidRPr="00F442A2">
        <w:rPr>
          <w:lang w:val="es-AR"/>
        </w:rPr>
        <w:t xml:space="preserve"> 2010; 44 (1): 47-52.</w:t>
      </w:r>
    </w:p>
    <w:p w:rsidR="00836A05" w:rsidRPr="00836A05" w:rsidRDefault="00836A05" w:rsidP="00853CA4">
      <w:pPr>
        <w:pStyle w:val="Biblio"/>
        <w:rPr>
          <w:lang w:val="en-US"/>
        </w:rPr>
      </w:pPr>
      <w:r w:rsidRPr="00836A05">
        <w:rPr>
          <w:lang w:val="en-US"/>
        </w:rPr>
        <w:t xml:space="preserve">9.Bai JC, </w:t>
      </w:r>
      <w:proofErr w:type="spellStart"/>
      <w:r w:rsidRPr="00836A05">
        <w:rPr>
          <w:lang w:val="en-US"/>
        </w:rPr>
        <w:t>Ciacci</w:t>
      </w:r>
      <w:proofErr w:type="spellEnd"/>
      <w:r w:rsidRPr="00836A05">
        <w:rPr>
          <w:lang w:val="en-US"/>
        </w:rPr>
        <w:t xml:space="preserve"> C. “World Gastroenterology </w:t>
      </w:r>
      <w:proofErr w:type="spellStart"/>
      <w:r w:rsidRPr="00836A05">
        <w:rPr>
          <w:lang w:val="en-US"/>
        </w:rPr>
        <w:t>Organisation</w:t>
      </w:r>
      <w:proofErr w:type="spellEnd"/>
      <w:r w:rsidRPr="00836A05">
        <w:rPr>
          <w:lang w:val="en-US"/>
        </w:rPr>
        <w:t xml:space="preserve"> Global Guidelines: Celiac Disease”. J Clin Gastroenterol 2019. 51(9):755-768.</w:t>
      </w:r>
    </w:p>
    <w:p w:rsidR="00836A05" w:rsidRPr="00836A05" w:rsidRDefault="00836A05" w:rsidP="00853CA4">
      <w:pPr>
        <w:pStyle w:val="Biblio"/>
        <w:rPr>
          <w:lang w:val="en-US"/>
        </w:rPr>
      </w:pPr>
      <w:r w:rsidRPr="00836A05">
        <w:rPr>
          <w:lang w:val="en-US"/>
        </w:rPr>
        <w:t xml:space="preserve">10.Popp A, </w:t>
      </w:r>
      <w:proofErr w:type="spellStart"/>
      <w:r w:rsidRPr="00836A05">
        <w:rPr>
          <w:lang w:val="en-US"/>
        </w:rPr>
        <w:t>Kivelá</w:t>
      </w:r>
      <w:proofErr w:type="spellEnd"/>
      <w:r w:rsidRPr="00836A05">
        <w:rPr>
          <w:lang w:val="en-US"/>
        </w:rPr>
        <w:t xml:space="preserve"> L, Fuchs V, </w:t>
      </w:r>
      <w:proofErr w:type="spellStart"/>
      <w:r w:rsidRPr="00836A05">
        <w:rPr>
          <w:lang w:val="en-US"/>
        </w:rPr>
        <w:t>Kurppa</w:t>
      </w:r>
      <w:proofErr w:type="spellEnd"/>
      <w:r w:rsidRPr="00836A05">
        <w:rPr>
          <w:lang w:val="en-US"/>
        </w:rPr>
        <w:t xml:space="preserve"> K. “Diagnosing Celiac Disease: Towards Wide-Scale Screening </w:t>
      </w:r>
      <w:proofErr w:type="spellStart"/>
      <w:r w:rsidRPr="00836A05">
        <w:rPr>
          <w:lang w:val="en-US"/>
        </w:rPr>
        <w:t>andSerology</w:t>
      </w:r>
      <w:proofErr w:type="spellEnd"/>
      <w:r w:rsidRPr="00836A05">
        <w:rPr>
          <w:lang w:val="en-US"/>
        </w:rPr>
        <w:t xml:space="preserve">-Based Criteria? “Gastroenterol Res and Practice 2019; Article ID 2916024, 10 pages. </w:t>
      </w:r>
    </w:p>
    <w:p w:rsidR="00836A05" w:rsidRPr="00836A05" w:rsidRDefault="00836A05" w:rsidP="00853CA4">
      <w:pPr>
        <w:pStyle w:val="Biblio"/>
        <w:rPr>
          <w:lang w:val="en-US"/>
        </w:rPr>
      </w:pPr>
      <w:r w:rsidRPr="009E5B35">
        <w:rPr>
          <w:lang w:val="en-US"/>
        </w:rPr>
        <w:t xml:space="preserve">11.Olen O, </w:t>
      </w:r>
      <w:proofErr w:type="spellStart"/>
      <w:r w:rsidRPr="009E5B35">
        <w:rPr>
          <w:lang w:val="en-US"/>
        </w:rPr>
        <w:t>Gudjonsdottir</w:t>
      </w:r>
      <w:proofErr w:type="spellEnd"/>
      <w:r w:rsidRPr="009E5B35">
        <w:rPr>
          <w:lang w:val="en-US"/>
        </w:rPr>
        <w:t xml:space="preserve"> AH, </w:t>
      </w:r>
      <w:proofErr w:type="spellStart"/>
      <w:r w:rsidRPr="009E5B35">
        <w:rPr>
          <w:lang w:val="en-US"/>
        </w:rPr>
        <w:t>Browaldh</w:t>
      </w:r>
      <w:proofErr w:type="spellEnd"/>
      <w:r w:rsidRPr="009E5B35">
        <w:rPr>
          <w:lang w:val="en-US"/>
        </w:rPr>
        <w:t xml:space="preserve"> L, et al. </w:t>
      </w:r>
      <w:r w:rsidRPr="00836A05">
        <w:rPr>
          <w:lang w:val="en-US"/>
        </w:rPr>
        <w:t xml:space="preserve">“Antibodies against deamidated gliadin peptides and tissue transglutaminase for diagnosis of </w:t>
      </w:r>
      <w:r w:rsidRPr="00836A05">
        <w:rPr>
          <w:lang w:val="en-US"/>
        </w:rPr>
        <w:t xml:space="preserve">pediatric celiac disease”. J </w:t>
      </w:r>
      <w:proofErr w:type="spellStart"/>
      <w:r w:rsidRPr="00836A05">
        <w:rPr>
          <w:lang w:val="en-US"/>
        </w:rPr>
        <w:t>Pediatr</w:t>
      </w:r>
      <w:proofErr w:type="spellEnd"/>
      <w:r w:rsidRPr="00836A05">
        <w:rPr>
          <w:lang w:val="en-US"/>
        </w:rPr>
        <w:t xml:space="preserve"> Gastroenterol </w:t>
      </w:r>
      <w:proofErr w:type="spellStart"/>
      <w:r w:rsidRPr="00836A05">
        <w:rPr>
          <w:lang w:val="en-US"/>
        </w:rPr>
        <w:t>Nutr</w:t>
      </w:r>
      <w:proofErr w:type="spellEnd"/>
      <w:r w:rsidRPr="00836A05">
        <w:rPr>
          <w:lang w:val="en-US"/>
        </w:rPr>
        <w:t xml:space="preserve"> 2012; 55:695–700.</w:t>
      </w:r>
    </w:p>
    <w:p w:rsidR="00836A05" w:rsidRPr="009E5B35" w:rsidRDefault="00836A05" w:rsidP="00853CA4">
      <w:pPr>
        <w:pStyle w:val="Biblio"/>
        <w:rPr>
          <w:lang w:val="es-AR"/>
        </w:rPr>
      </w:pPr>
      <w:r w:rsidRPr="00836A05">
        <w:rPr>
          <w:lang w:val="en-US"/>
        </w:rPr>
        <w:t xml:space="preserve">12.Medical Advisory Secretariat. “Clinical utility of serologic testing for celiac disease in </w:t>
      </w:r>
      <w:proofErr w:type="spellStart"/>
      <w:r w:rsidRPr="00836A05">
        <w:rPr>
          <w:lang w:val="en-US"/>
        </w:rPr>
        <w:t>ontario</w:t>
      </w:r>
      <w:proofErr w:type="spellEnd"/>
      <w:r w:rsidRPr="00836A05">
        <w:rPr>
          <w:lang w:val="en-US"/>
        </w:rPr>
        <w:t xml:space="preserve">: an evidence-based analysis”. </w:t>
      </w:r>
      <w:proofErr w:type="spellStart"/>
      <w:r w:rsidRPr="009E5B35">
        <w:rPr>
          <w:lang w:val="es-AR"/>
        </w:rPr>
        <w:t>Ont</w:t>
      </w:r>
      <w:proofErr w:type="spellEnd"/>
      <w:r w:rsidRPr="009E5B35">
        <w:rPr>
          <w:lang w:val="es-AR"/>
        </w:rPr>
        <w:t xml:space="preserve"> </w:t>
      </w:r>
      <w:proofErr w:type="spellStart"/>
      <w:r w:rsidRPr="009E5B35">
        <w:rPr>
          <w:lang w:val="es-AR"/>
        </w:rPr>
        <w:t>Health</w:t>
      </w:r>
      <w:proofErr w:type="spellEnd"/>
      <w:r w:rsidRPr="009E5B35">
        <w:rPr>
          <w:lang w:val="es-AR"/>
        </w:rPr>
        <w:t xml:space="preserve"> </w:t>
      </w:r>
      <w:proofErr w:type="spellStart"/>
      <w:r w:rsidRPr="009E5B35">
        <w:rPr>
          <w:lang w:val="es-AR"/>
        </w:rPr>
        <w:t>Technol</w:t>
      </w:r>
      <w:proofErr w:type="spellEnd"/>
      <w:r w:rsidRPr="009E5B35">
        <w:rPr>
          <w:lang w:val="es-AR"/>
        </w:rPr>
        <w:t xml:space="preserve"> </w:t>
      </w:r>
      <w:proofErr w:type="spellStart"/>
      <w:r w:rsidRPr="009E5B35">
        <w:rPr>
          <w:lang w:val="es-AR"/>
        </w:rPr>
        <w:t>Assess</w:t>
      </w:r>
      <w:proofErr w:type="spellEnd"/>
      <w:r w:rsidRPr="009E5B35">
        <w:rPr>
          <w:lang w:val="es-AR"/>
        </w:rPr>
        <w:t xml:space="preserve"> Ser. 2010;10(21):1-11</w:t>
      </w:r>
    </w:p>
    <w:p w:rsidR="00CC472F" w:rsidRPr="00853CA4" w:rsidRDefault="00836A05" w:rsidP="00853CA4">
      <w:pPr>
        <w:pStyle w:val="Biblio"/>
        <w:rPr>
          <w:lang w:val="es-AR"/>
        </w:rPr>
      </w:pPr>
      <w:r w:rsidRPr="00836A05">
        <w:rPr>
          <w:lang w:val="es-AR"/>
        </w:rPr>
        <w:t xml:space="preserve">13.Crivelli E, Soriano </w:t>
      </w:r>
      <w:r w:rsidR="00853CA4" w:rsidRPr="00836A05">
        <w:rPr>
          <w:lang w:val="es-AR"/>
        </w:rPr>
        <w:t>MA. “Valor</w:t>
      </w:r>
      <w:r w:rsidRPr="00836A05">
        <w:rPr>
          <w:lang w:val="es-AR"/>
        </w:rPr>
        <w:t xml:space="preserve"> de corte de anticuerpos IgG anti péptidos de gliadina desaminados en niños con sospecha de enfermedad celíaca del hospital infantil municipal de la ciudad de </w:t>
      </w:r>
      <w:r w:rsidR="00853CA4" w:rsidRPr="00836A05">
        <w:rPr>
          <w:lang w:val="es-AR"/>
        </w:rPr>
        <w:t>Córdoba”</w:t>
      </w:r>
      <w:r w:rsidRPr="00836A05">
        <w:rPr>
          <w:lang w:val="es-AR"/>
        </w:rPr>
        <w:t xml:space="preserve">.  Publicación on-line del Colegio de Bioquímicos de la Provincia de Córdoba (ISSN: 2344-9926). </w:t>
      </w:r>
      <w:r w:rsidR="00853CA4" w:rsidRPr="00853CA4">
        <w:rPr>
          <w:lang w:val="es-AR"/>
        </w:rPr>
        <w:t xml:space="preserve">bioquinforma digital </w:t>
      </w:r>
      <w:r w:rsidRPr="00853CA4">
        <w:rPr>
          <w:lang w:val="es-AR"/>
        </w:rPr>
        <w:t>1/2020</w:t>
      </w:r>
      <w:r w:rsidR="00E63125" w:rsidRPr="00853CA4">
        <w:rPr>
          <w:lang w:val="es-AR"/>
        </w:rPr>
        <w:t xml:space="preserve">. </w:t>
      </w:r>
    </w:p>
    <w:p w:rsidR="00836A05" w:rsidRPr="00836A05" w:rsidRDefault="00836A05" w:rsidP="00836A05">
      <w:pPr>
        <w:rPr>
          <w:lang w:val="en-US"/>
        </w:rPr>
        <w:sectPr w:rsidR="00836A05" w:rsidRPr="00836A05" w:rsidSect="0055335D">
          <w:type w:val="continuous"/>
          <w:pgSz w:w="11906" w:h="16838"/>
          <w:pgMar w:top="1531" w:right="1701" w:bottom="1418" w:left="1701" w:header="709" w:footer="709" w:gutter="0"/>
          <w:pgNumType w:start="18"/>
          <w:cols w:num="2" w:space="720"/>
          <w:titlePg/>
        </w:sectPr>
      </w:pPr>
      <w:r>
        <w:rPr>
          <w:rFonts w:ascii="Calibri" w:eastAsia="Calibri" w:hAnsi="Calibri" w:cs="Calibri"/>
          <w:noProof/>
          <w:sz w:val="22"/>
          <w:lang w:val="es-AR" w:eastAsia="es-AR"/>
        </w:rPr>
        <mc:AlternateContent>
          <mc:Choice Requires="wpg">
            <w:drawing>
              <wp:inline distT="0" distB="0" distL="0" distR="0" wp14:anchorId="22B2D8EF" wp14:editId="42391181">
                <wp:extent cx="1114425" cy="514350"/>
                <wp:effectExtent l="0" t="0" r="9525"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514350"/>
                          <a:chOff x="0" y="0"/>
                          <a:chExt cx="11701" cy="4312"/>
                        </a:xfrm>
                      </wpg:grpSpPr>
                      <wps:wsp>
                        <wps:cNvPr id="17" name="Shape 12170"/>
                        <wps:cNvSpPr>
                          <a:spLocks/>
                        </wps:cNvSpPr>
                        <wps:spPr bwMode="auto">
                          <a:xfrm>
                            <a:off x="8" y="4206"/>
                            <a:ext cx="11693" cy="106"/>
                          </a:xfrm>
                          <a:custGeom>
                            <a:avLst/>
                            <a:gdLst>
                              <a:gd name="T0" fmla="*/ 0 w 1169213"/>
                              <a:gd name="T1" fmla="*/ 0 h 10668"/>
                              <a:gd name="T2" fmla="*/ 0 w 1169213"/>
                              <a:gd name="T3" fmla="*/ 0 h 10668"/>
                              <a:gd name="T4" fmla="*/ 0 w 1169213"/>
                              <a:gd name="T5" fmla="*/ 0 h 10668"/>
                              <a:gd name="T6" fmla="*/ 0 w 1169213"/>
                              <a:gd name="T7" fmla="*/ 0 h 10668"/>
                              <a:gd name="T8" fmla="*/ 0 w 1169213"/>
                              <a:gd name="T9" fmla="*/ 0 h 10668"/>
                              <a:gd name="T10" fmla="*/ 0 60000 65536"/>
                              <a:gd name="T11" fmla="*/ 0 60000 65536"/>
                              <a:gd name="T12" fmla="*/ 0 60000 65536"/>
                              <a:gd name="T13" fmla="*/ 0 60000 65536"/>
                              <a:gd name="T14" fmla="*/ 0 60000 65536"/>
                              <a:gd name="T15" fmla="*/ 0 w 1169213"/>
                              <a:gd name="T16" fmla="*/ 0 h 10668"/>
                              <a:gd name="T17" fmla="*/ 1169213 w 1169213"/>
                              <a:gd name="T18" fmla="*/ 10668 h 10668"/>
                            </a:gdLst>
                            <a:ahLst/>
                            <a:cxnLst>
                              <a:cxn ang="T10">
                                <a:pos x="T0" y="T1"/>
                              </a:cxn>
                              <a:cxn ang="T11">
                                <a:pos x="T2" y="T3"/>
                              </a:cxn>
                              <a:cxn ang="T12">
                                <a:pos x="T4" y="T5"/>
                              </a:cxn>
                              <a:cxn ang="T13">
                                <a:pos x="T6" y="T7"/>
                              </a:cxn>
                              <a:cxn ang="T14">
                                <a:pos x="T8" y="T9"/>
                              </a:cxn>
                            </a:cxnLst>
                            <a:rect l="T15" t="T16" r="T17" b="T18"/>
                            <a:pathLst>
                              <a:path w="1169213" h="10668">
                                <a:moveTo>
                                  <a:pt x="0" y="0"/>
                                </a:moveTo>
                                <a:lnTo>
                                  <a:pt x="1169213" y="0"/>
                                </a:lnTo>
                                <a:lnTo>
                                  <a:pt x="1169213"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1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73" cy="40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432F0F9" id="Group 11" o:spid="_x0000_s1026" style="width:87.75pt;height:40.5pt;mso-position-horizontal-relative:char;mso-position-vertical-relative:line" coordsize="11701,4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">
                <v:shape id="Shape 12170" o:spid="_x0000_s1027" style="position:absolute;left:8;top:4206;width:11693;height:106;visibility:visible;mso-wrap-style:square;v-text-anchor:top"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" path="m,l1169213,r,10668l,10668,,e" fillcolor="black" stroked="f" strokeweight="0">
                  <v:stroke miterlimit="83231f" joinstyle="miter"/>
                  <v:path arrowok="t" o:connecttype="custom" o:connectlocs="0,0;0,0;0,0;0,0;0,0" o:connectangles="0,0,0,0,0" textboxrect="0,0,1169213,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 o:spid="_x0000_s1028" type="#_x0000_t75" style="position:absolute;width:11673;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">
                  <v:imagedata r:id="rId31" o:title=""/>
                </v:shape>
                <w10:anchorlock/>
              </v:group>
            </w:pict>
          </mc:Fallback>
        </mc:AlternateContent>
      </w:r>
    </w:p>
    <w:p w:rsidR="00E35F7C" w:rsidRDefault="00E35F7C" w:rsidP="00836A05">
      <w:pPr>
        <w:pStyle w:val="Ttulo1"/>
        <w:rPr>
          <w:lang w:val="es-AR"/>
        </w:rPr>
      </w:pPr>
    </w:p>
    <w:p w:rsidR="008F1458" w:rsidRDefault="008F1458" w:rsidP="00E35F7C">
      <w:pPr>
        <w:pStyle w:val="LeyendaTabla"/>
        <w:jc w:val="both"/>
        <w:rPr>
          <w:lang w:val="es-AR"/>
        </w:rPr>
      </w:pPr>
    </w:p>
    <w:p w:rsidR="00EC6B22" w:rsidRPr="00EC6B22" w:rsidRDefault="00836A05" w:rsidP="00E35F7C">
      <w:pPr>
        <w:pStyle w:val="LeyendaTabla"/>
        <w:jc w:val="left"/>
        <w:rPr>
          <w:lang w:val="es-AR"/>
        </w:rPr>
      </w:pPr>
      <w:r>
        <w:rPr>
          <w:noProof/>
          <w:lang w:val="es-AR" w:eastAsia="es-AR"/>
        </w:rPr>
        <mc:AlternateContent>
          <mc:Choice Requires="wps">
            <w:drawing>
              <wp:anchor distT="0" distB="0" distL="114300" distR="114300" simplePos="0" relativeHeight="251740160" behindDoc="0" locked="0" layoutInCell="1" allowOverlap="1" wp14:anchorId="28356A1A" wp14:editId="2434427C">
                <wp:simplePos x="0" y="0"/>
                <wp:positionH relativeFrom="rightMargin">
                  <wp:posOffset>71755</wp:posOffset>
                </wp:positionH>
                <wp:positionV relativeFrom="paragraph">
                  <wp:posOffset>5055235</wp:posOffset>
                </wp:positionV>
                <wp:extent cx="425003" cy="379927"/>
                <wp:effectExtent l="0" t="0" r="13335" b="20320"/>
                <wp:wrapNone/>
                <wp:docPr id="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003" cy="379927"/>
                        </a:xfrm>
                        <a:prstGeom prst="rect">
                          <a:avLst/>
                        </a:prstGeom>
                        <a:solidFill>
                          <a:srgbClr val="509D2F"/>
                        </a:solidFill>
                        <a:ln w="9525">
                          <a:solidFill>
                            <a:srgbClr val="000000"/>
                          </a:solidFill>
                          <a:round/>
                          <a:headEnd type="none" w="sm" len="sm"/>
                          <a:tailEnd type="none" w="sm" len="sm"/>
                        </a:ln>
                      </wps:spPr>
                      <wps:txbx>
                        <w:txbxContent>
                          <w:p w:rsidR="000E5917" w:rsidRPr="00EB1E6E" w:rsidRDefault="00C6262A" w:rsidP="000E5917">
                            <w:pPr>
                              <w:jc w:val="center"/>
                              <w:textDirection w:val="btLr"/>
                              <w:rPr>
                                <w:lang w:val="es-MX"/>
                              </w:rPr>
                            </w:pPr>
                            <w:r>
                              <w:rPr>
                                <w:b/>
                                <w:color w:val="FFFFFF"/>
                                <w:sz w:val="24"/>
                                <w:lang w:val="es-MX"/>
                              </w:rPr>
                              <w:t>23</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56A1A" id="_x0000_s1032" style="position:absolute;margin-left:5.65pt;margin-top:398.05pt;width:33.45pt;height:29.9pt;flip:x;z-index:25174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" fillcolor="#509d2f">
                <v:stroke startarrowwidth="narrow" startarrowlength="short" endarrowwidth="narrow" endarrowlength="short" joinstyle="round"/>
                <v:textbox inset="2.53958mm,1.2694mm,2.53958mm,1.2694mm">
                  <w:txbxContent>
                    <w:p w:rsidR="000E5917" w:rsidRPr="00EB1E6E" w:rsidRDefault="00C6262A" w:rsidP="000E5917">
                      <w:pPr>
                        <w:jc w:val="center"/>
                        <w:textDirection w:val="btLr"/>
                        <w:rPr>
                          <w:lang w:val="es-MX"/>
                        </w:rPr>
                      </w:pPr>
                      <w:r>
                        <w:rPr>
                          <w:b/>
                          <w:color w:val="FFFFFF"/>
                          <w:sz w:val="24"/>
                          <w:lang w:val="es-MX"/>
                        </w:rPr>
                        <w:t>23</w:t>
                      </w:r>
                    </w:p>
                  </w:txbxContent>
                </v:textbox>
                <w10:wrap anchorx="margin"/>
              </v:rect>
            </w:pict>
          </mc:Fallback>
        </mc:AlternateContent>
      </w:r>
      <w:r w:rsidR="008F1458">
        <w:rPr>
          <w:lang w:val="es-AR"/>
        </w:rPr>
        <w:t xml:space="preserve">              </w:t>
      </w:r>
    </w:p>
    <w:sectPr w:rsidR="00EC6B22" w:rsidRPr="00EC6B22" w:rsidSect="008F1458">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545" w:rsidRDefault="003D6545">
      <w:r>
        <w:separator/>
      </w:r>
    </w:p>
  </w:endnote>
  <w:endnote w:type="continuationSeparator" w:id="0">
    <w:p w:rsidR="003D6545" w:rsidRDefault="003D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A7" w:rsidRDefault="000424A7" w:rsidP="000424A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24A7" w:rsidTr="00054E9C">
      <w:tc>
        <w:tcPr>
          <w:tcW w:w="7797" w:type="dxa"/>
          <w:tcBorders>
            <w:top w:val="single" w:sz="4" w:space="0" w:color="000000"/>
          </w:tcBorders>
        </w:tcPr>
        <w:p w:rsidR="000424A7" w:rsidRDefault="000424A7" w:rsidP="000424A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Investigación Aplicada a las Ciencias Biológicas. Universidad Católica de Córdoba. Jacinto Ríos 571 Bº Gral. Paz. X5004FXS. Córdoba. Argentina. Tel.: (54) 351 4517299 / Correo: methodo@ucc.edu.ar / Web: methodo.ucc.edu.ar |ART</w:t>
          </w:r>
          <w:r w:rsidR="00C6262A">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w:t>
          </w:r>
          <w:r w:rsidR="00CC472F">
            <w:rPr>
              <w:rFonts w:ascii="Arial" w:eastAsia="Arial" w:hAnsi="Arial" w:cs="Arial"/>
              <w:color w:val="000000"/>
              <w:sz w:val="16"/>
              <w:szCs w:val="16"/>
            </w:rPr>
            <w:t>4</w:t>
          </w:r>
          <w:r>
            <w:rPr>
              <w:rFonts w:ascii="Arial" w:eastAsia="Arial" w:hAnsi="Arial" w:cs="Arial"/>
              <w:color w:val="000000"/>
              <w:sz w:val="16"/>
              <w:szCs w:val="16"/>
            </w:rPr>
            <w:t>;</w:t>
          </w:r>
          <w:r w:rsidR="00CC472F">
            <w:rPr>
              <w:rFonts w:ascii="Arial" w:eastAsia="Arial" w:hAnsi="Arial" w:cs="Arial"/>
              <w:color w:val="000000"/>
              <w:sz w:val="16"/>
              <w:szCs w:val="16"/>
            </w:rPr>
            <w:t>9</w:t>
          </w:r>
          <w:r>
            <w:rPr>
              <w:rFonts w:ascii="Arial" w:eastAsia="Arial" w:hAnsi="Arial" w:cs="Arial"/>
              <w:color w:val="000000"/>
              <w:sz w:val="16"/>
              <w:szCs w:val="16"/>
            </w:rPr>
            <w:t>(</w:t>
          </w:r>
          <w:r w:rsidR="00853CA4">
            <w:rPr>
              <w:rFonts w:ascii="Arial" w:eastAsia="Arial" w:hAnsi="Arial" w:cs="Arial"/>
              <w:color w:val="000000"/>
              <w:sz w:val="16"/>
              <w:szCs w:val="16"/>
            </w:rPr>
            <w:t>3</w:t>
          </w:r>
          <w:r>
            <w:rPr>
              <w:rFonts w:ascii="Arial" w:eastAsia="Arial" w:hAnsi="Arial" w:cs="Arial"/>
              <w:color w:val="000000"/>
              <w:sz w:val="16"/>
              <w:szCs w:val="16"/>
            </w:rPr>
            <w:t>):</w:t>
          </w:r>
          <w:r w:rsidR="00C6262A">
            <w:rPr>
              <w:rFonts w:ascii="Arial" w:eastAsia="Arial" w:hAnsi="Arial" w:cs="Arial"/>
              <w:color w:val="000000"/>
              <w:sz w:val="16"/>
              <w:szCs w:val="16"/>
            </w:rPr>
            <w:t>17-23.</w:t>
          </w:r>
        </w:p>
      </w:tc>
    </w:tr>
  </w:tbl>
  <w:p w:rsidR="000424A7" w:rsidRDefault="000424A7" w:rsidP="000424A7">
    <w:pPr>
      <w:pBdr>
        <w:top w:val="nil"/>
        <w:left w:val="nil"/>
        <w:bottom w:val="nil"/>
        <w:right w:val="nil"/>
        <w:between w:val="nil"/>
      </w:pBdr>
      <w:tabs>
        <w:tab w:val="center" w:pos="4419"/>
        <w:tab w:val="right" w:pos="8838"/>
      </w:tabs>
      <w:rPr>
        <w:color w:val="000000"/>
      </w:rPr>
    </w:pPr>
  </w:p>
  <w:p w:rsidR="00046C67" w:rsidRPr="000424A7" w:rsidRDefault="00046C67">
    <w:pPr>
      <w:widowControl w:val="0"/>
      <w:pBdr>
        <w:top w:val="nil"/>
        <w:left w:val="nil"/>
        <w:bottom w:val="nil"/>
        <w:right w:val="nil"/>
        <w:between w:val="nil"/>
      </w:pBdr>
      <w:spacing w:line="276" w:lineRule="auto"/>
      <w:jc w:val="left"/>
      <w:rPr>
        <w:color w:val="000000"/>
        <w:lang w:val="es-AR"/>
      </w:rPr>
    </w:pPr>
  </w:p>
  <w:p w:rsidR="00046C67" w:rsidRDefault="00046C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2"/>
      <w:tblW w:w="7797" w:type="dxa"/>
      <w:tblInd w:w="0" w:type="dxa"/>
      <w:tblLayout w:type="fixed"/>
      <w:tblLook w:val="0400" w:firstRow="0" w:lastRow="0" w:firstColumn="0" w:lastColumn="0" w:noHBand="0" w:noVBand="1"/>
    </w:tblPr>
    <w:tblGrid>
      <w:gridCol w:w="7797"/>
    </w:tblGrid>
    <w:tr w:rsidR="00046C67">
      <w:tc>
        <w:tcPr>
          <w:tcW w:w="7797" w:type="dxa"/>
          <w:tcBorders>
            <w:top w:val="single" w:sz="4" w:space="0" w:color="000000"/>
          </w:tcBorders>
        </w:tcPr>
        <w:p w:rsidR="00046C67" w:rsidRDefault="00046C6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 Web: methodo.ucc.edu.ar |ART</w:t>
          </w:r>
          <w:r w:rsidR="00C6262A">
            <w:rPr>
              <w:rFonts w:ascii="Arial" w:eastAsia="Arial" w:hAnsi="Arial" w:cs="Arial"/>
              <w:color w:val="000000"/>
              <w:sz w:val="16"/>
              <w:szCs w:val="16"/>
            </w:rPr>
            <w:t>Í</w:t>
          </w:r>
          <w:r>
            <w:rPr>
              <w:rFonts w:ascii="Arial" w:eastAsia="Arial" w:hAnsi="Arial" w:cs="Arial"/>
              <w:color w:val="000000"/>
              <w:sz w:val="16"/>
              <w:szCs w:val="16"/>
            </w:rPr>
            <w:t xml:space="preserve">CULO ORIGINAL Rev. </w:t>
          </w:r>
          <w:proofErr w:type="spellStart"/>
          <w:r>
            <w:rPr>
              <w:rFonts w:ascii="Arial" w:eastAsia="Arial" w:hAnsi="Arial" w:cs="Arial"/>
              <w:color w:val="000000"/>
              <w:sz w:val="16"/>
              <w:szCs w:val="16"/>
            </w:rPr>
            <w:t>Method</w:t>
          </w:r>
          <w:r w:rsidR="008A49A1">
            <w:rPr>
              <w:rFonts w:ascii="Arial" w:eastAsia="Arial" w:hAnsi="Arial" w:cs="Arial"/>
              <w:color w:val="000000"/>
              <w:sz w:val="16"/>
              <w:szCs w:val="16"/>
            </w:rPr>
            <w:t>o</w:t>
          </w:r>
          <w:proofErr w:type="spellEnd"/>
          <w:r w:rsidR="008A49A1">
            <w:rPr>
              <w:rFonts w:ascii="Arial" w:eastAsia="Arial" w:hAnsi="Arial" w:cs="Arial"/>
              <w:color w:val="000000"/>
              <w:sz w:val="16"/>
              <w:szCs w:val="16"/>
            </w:rPr>
            <w:t xml:space="preserve"> 20</w:t>
          </w:r>
          <w:r w:rsidR="006F0A50">
            <w:rPr>
              <w:rFonts w:ascii="Arial" w:eastAsia="Arial" w:hAnsi="Arial" w:cs="Arial"/>
              <w:color w:val="000000"/>
              <w:sz w:val="16"/>
              <w:szCs w:val="16"/>
            </w:rPr>
            <w:t>2</w:t>
          </w:r>
          <w:r w:rsidR="00CC472F">
            <w:rPr>
              <w:rFonts w:ascii="Arial" w:eastAsia="Arial" w:hAnsi="Arial" w:cs="Arial"/>
              <w:color w:val="000000"/>
              <w:sz w:val="16"/>
              <w:szCs w:val="16"/>
            </w:rPr>
            <w:t>4</w:t>
          </w:r>
          <w:r w:rsidR="006F0A50">
            <w:rPr>
              <w:rFonts w:ascii="Arial" w:eastAsia="Arial" w:hAnsi="Arial" w:cs="Arial"/>
              <w:color w:val="000000"/>
              <w:sz w:val="16"/>
              <w:szCs w:val="16"/>
            </w:rPr>
            <w:t>;</w:t>
          </w:r>
          <w:r w:rsidR="00CC472F">
            <w:rPr>
              <w:rFonts w:ascii="Arial" w:eastAsia="Arial" w:hAnsi="Arial" w:cs="Arial"/>
              <w:color w:val="000000"/>
              <w:sz w:val="16"/>
              <w:szCs w:val="16"/>
            </w:rPr>
            <w:t>9</w:t>
          </w:r>
          <w:r w:rsidR="006F0A50">
            <w:rPr>
              <w:rFonts w:ascii="Arial" w:eastAsia="Arial" w:hAnsi="Arial" w:cs="Arial"/>
              <w:color w:val="000000"/>
              <w:sz w:val="16"/>
              <w:szCs w:val="16"/>
            </w:rPr>
            <w:t>(</w:t>
          </w:r>
          <w:r w:rsidR="00665ECC">
            <w:rPr>
              <w:rFonts w:ascii="Arial" w:eastAsia="Arial" w:hAnsi="Arial" w:cs="Arial"/>
              <w:color w:val="000000"/>
              <w:sz w:val="16"/>
              <w:szCs w:val="16"/>
            </w:rPr>
            <w:t>3</w:t>
          </w:r>
          <w:r w:rsidR="006F0A50">
            <w:rPr>
              <w:rFonts w:ascii="Arial" w:eastAsia="Arial" w:hAnsi="Arial" w:cs="Arial"/>
              <w:color w:val="000000"/>
              <w:sz w:val="16"/>
              <w:szCs w:val="16"/>
            </w:rPr>
            <w:t>):</w:t>
          </w:r>
          <w:r w:rsidR="00C6262A">
            <w:rPr>
              <w:rFonts w:ascii="Arial" w:eastAsia="Arial" w:hAnsi="Arial" w:cs="Arial"/>
              <w:color w:val="000000"/>
              <w:sz w:val="16"/>
              <w:szCs w:val="16"/>
            </w:rPr>
            <w:t>17-23.</w:t>
          </w:r>
        </w:p>
      </w:tc>
    </w:tr>
  </w:tbl>
  <w:p w:rsidR="00046C67" w:rsidRDefault="00046C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545" w:rsidRDefault="003D6545">
      <w:r>
        <w:separator/>
      </w:r>
    </w:p>
  </w:footnote>
  <w:footnote w:type="continuationSeparator" w:id="0">
    <w:p w:rsidR="003D6545" w:rsidRDefault="003D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3E1" w:rsidRDefault="00DD13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extent cx="4143427" cy="1136664"/>
          <wp:effectExtent l="0" t="0" r="0" b="0"/>
          <wp:docPr id="3"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046C67" w:rsidRDefault="00046C67">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Default="00046C67">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43411E" w:rsidRDefault="00665ECC" w:rsidP="008A49A1">
    <w:pPr>
      <w:pStyle w:val="Encabezado"/>
      <w:rPr>
        <w:rFonts w:eastAsia="Arial"/>
        <w:i/>
      </w:rPr>
    </w:pPr>
    <w:proofErr w:type="spellStart"/>
    <w:r w:rsidRPr="00665ECC">
      <w:rPr>
        <w:rFonts w:ascii="Arial" w:eastAsia="Arial" w:hAnsi="Arial" w:cs="Arial"/>
        <w:sz w:val="16"/>
        <w:szCs w:val="16"/>
      </w:rPr>
      <w:t>Bonamico</w:t>
    </w:r>
    <w:proofErr w:type="spellEnd"/>
    <w:r>
      <w:rPr>
        <w:rFonts w:ascii="Arial" w:eastAsia="Arial" w:hAnsi="Arial" w:cs="Arial"/>
        <w:sz w:val="16"/>
        <w:szCs w:val="16"/>
      </w:rPr>
      <w:t xml:space="preserve"> A, </w:t>
    </w:r>
    <w:r w:rsidRPr="00665ECC">
      <w:rPr>
        <w:rFonts w:ascii="Arial" w:eastAsia="Arial" w:hAnsi="Arial" w:cs="Arial"/>
        <w:sz w:val="16"/>
        <w:szCs w:val="16"/>
      </w:rPr>
      <w:t>Córdoba</w:t>
    </w:r>
    <w:r>
      <w:rPr>
        <w:rFonts w:ascii="Arial" w:eastAsia="Arial" w:hAnsi="Arial" w:cs="Arial"/>
        <w:sz w:val="16"/>
        <w:szCs w:val="16"/>
      </w:rPr>
      <w:t xml:space="preserve"> E, </w:t>
    </w:r>
    <w:r w:rsidRPr="00665ECC">
      <w:rPr>
        <w:rFonts w:ascii="Arial" w:eastAsia="Arial" w:hAnsi="Arial" w:cs="Arial"/>
        <w:sz w:val="16"/>
        <w:szCs w:val="16"/>
      </w:rPr>
      <w:t>Marini</w:t>
    </w:r>
    <w:r>
      <w:rPr>
        <w:rFonts w:ascii="Arial" w:eastAsia="Arial" w:hAnsi="Arial" w:cs="Arial"/>
        <w:sz w:val="16"/>
        <w:szCs w:val="16"/>
      </w:rPr>
      <w:t xml:space="preserve"> V, </w:t>
    </w:r>
    <w:proofErr w:type="spellStart"/>
    <w:r w:rsidRPr="00665ECC">
      <w:rPr>
        <w:rFonts w:ascii="Arial" w:eastAsia="Arial" w:hAnsi="Arial" w:cs="Arial"/>
        <w:sz w:val="16"/>
        <w:szCs w:val="16"/>
      </w:rPr>
      <w:t>Trakal</w:t>
    </w:r>
    <w:proofErr w:type="spellEnd"/>
    <w:r>
      <w:rPr>
        <w:rFonts w:ascii="Arial" w:eastAsia="Arial" w:hAnsi="Arial" w:cs="Arial"/>
        <w:sz w:val="16"/>
        <w:szCs w:val="16"/>
      </w:rPr>
      <w:t xml:space="preserve"> J.J</w:t>
    </w:r>
    <w:r w:rsidR="008F4E85" w:rsidRPr="00A37B70">
      <w:rPr>
        <w:rFonts w:ascii="Arial" w:eastAsia="Arial" w:hAnsi="Arial" w:cs="Arial"/>
        <w:sz w:val="16"/>
        <w:szCs w:val="16"/>
      </w:rPr>
      <w:t>.</w:t>
    </w:r>
    <w:r w:rsidR="0043411E" w:rsidRPr="0043411E">
      <w:rPr>
        <w:rFonts w:ascii="Arial" w:eastAsia="Arial" w:hAnsi="Arial" w:cs="Arial"/>
        <w:i/>
        <w:sz w:val="16"/>
        <w:szCs w:val="16"/>
      </w:rPr>
      <w:t xml:space="preserve"> </w:t>
    </w:r>
    <w:r w:rsidRPr="00665ECC">
      <w:rPr>
        <w:rFonts w:ascii="Arial" w:eastAsia="Arial" w:hAnsi="Arial" w:cs="Arial"/>
        <w:i/>
        <w:sz w:val="16"/>
        <w:szCs w:val="16"/>
      </w:rPr>
      <w:t>Exactitud diagnóstica de IgG anti gliadina deaminada en enfermedad celíaca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C67" w:rsidRPr="00F70118" w:rsidRDefault="00F70118" w:rsidP="00F70118">
    <w:pPr>
      <w:pStyle w:val="Encabezado"/>
      <w:rPr>
        <w:rFonts w:ascii="Arial" w:eastAsia="Arial" w:hAnsi="Arial" w:cs="Arial"/>
        <w:i/>
        <w:sz w:val="16"/>
        <w:szCs w:val="16"/>
      </w:rPr>
    </w:pPr>
    <w:r w:rsidRPr="00F70118">
      <w:rPr>
        <w:rFonts w:ascii="Arial" w:eastAsia="Arial" w:hAnsi="Arial" w:cs="Arial"/>
        <w:sz w:val="16"/>
        <w:szCs w:val="16"/>
      </w:rPr>
      <w:t xml:space="preserve">Holgado Herrera M.C, </w:t>
    </w:r>
    <w:proofErr w:type="spellStart"/>
    <w:r w:rsidRPr="00F70118">
      <w:rPr>
        <w:rFonts w:ascii="Arial" w:eastAsia="Arial" w:hAnsi="Arial" w:cs="Arial"/>
        <w:sz w:val="16"/>
        <w:szCs w:val="16"/>
      </w:rPr>
      <w:t>Maccio</w:t>
    </w:r>
    <w:proofErr w:type="spellEnd"/>
    <w:r w:rsidRPr="00F70118">
      <w:rPr>
        <w:rFonts w:ascii="Arial" w:eastAsia="Arial" w:hAnsi="Arial" w:cs="Arial"/>
        <w:sz w:val="16"/>
        <w:szCs w:val="16"/>
      </w:rPr>
      <w:t xml:space="preserve"> J.P, Esposito E, Viotto P, Ibáñez A, Guaycochea M, Urrets Zavalia J. </w:t>
    </w:r>
    <w:r w:rsidRPr="00F70118">
      <w:rPr>
        <w:rFonts w:ascii="Arial" w:eastAsia="Arial" w:hAnsi="Arial" w:cs="Arial"/>
        <w:i/>
        <w:sz w:val="16"/>
        <w:szCs w:val="16"/>
      </w:rPr>
      <w:t>Frecuencia de ojo seco y su asociación con el uso de dispositivos electrónicos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F20DD"/>
    <w:multiLevelType w:val="hybridMultilevel"/>
    <w:tmpl w:val="071C19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FB34770"/>
    <w:multiLevelType w:val="multilevel"/>
    <w:tmpl w:val="90AEC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D6349A"/>
    <w:multiLevelType w:val="hybridMultilevel"/>
    <w:tmpl w:val="8D7070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2947383"/>
    <w:multiLevelType w:val="multilevel"/>
    <w:tmpl w:val="882C75D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76E8778E"/>
    <w:multiLevelType w:val="hybridMultilevel"/>
    <w:tmpl w:val="831EA2F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4F"/>
    <w:rsid w:val="00021B3A"/>
    <w:rsid w:val="00041AAB"/>
    <w:rsid w:val="000424A7"/>
    <w:rsid w:val="00046C67"/>
    <w:rsid w:val="00066291"/>
    <w:rsid w:val="0008279F"/>
    <w:rsid w:val="00085C83"/>
    <w:rsid w:val="0009037D"/>
    <w:rsid w:val="0009181E"/>
    <w:rsid w:val="000B3493"/>
    <w:rsid w:val="000D3CE0"/>
    <w:rsid w:val="000E5917"/>
    <w:rsid w:val="000E7BDD"/>
    <w:rsid w:val="00105F2A"/>
    <w:rsid w:val="001119A6"/>
    <w:rsid w:val="0011429F"/>
    <w:rsid w:val="001212F2"/>
    <w:rsid w:val="00125D7F"/>
    <w:rsid w:val="00127F56"/>
    <w:rsid w:val="00153B26"/>
    <w:rsid w:val="00156724"/>
    <w:rsid w:val="001604FE"/>
    <w:rsid w:val="00160A1C"/>
    <w:rsid w:val="00165912"/>
    <w:rsid w:val="00165B8A"/>
    <w:rsid w:val="001770A7"/>
    <w:rsid w:val="00182E4B"/>
    <w:rsid w:val="00183EF9"/>
    <w:rsid w:val="001845BA"/>
    <w:rsid w:val="00190920"/>
    <w:rsid w:val="00191C2C"/>
    <w:rsid w:val="001929D3"/>
    <w:rsid w:val="00193B93"/>
    <w:rsid w:val="001A1CC3"/>
    <w:rsid w:val="001B7CF1"/>
    <w:rsid w:val="001C1808"/>
    <w:rsid w:val="001C26A5"/>
    <w:rsid w:val="001C7454"/>
    <w:rsid w:val="001D10A5"/>
    <w:rsid w:val="001E04CB"/>
    <w:rsid w:val="001E15C7"/>
    <w:rsid w:val="001E70CC"/>
    <w:rsid w:val="001E7B3A"/>
    <w:rsid w:val="001F4C8E"/>
    <w:rsid w:val="00205FC5"/>
    <w:rsid w:val="00212696"/>
    <w:rsid w:val="00213F9D"/>
    <w:rsid w:val="00215976"/>
    <w:rsid w:val="0021632C"/>
    <w:rsid w:val="0021685D"/>
    <w:rsid w:val="00220582"/>
    <w:rsid w:val="00233CA4"/>
    <w:rsid w:val="00235963"/>
    <w:rsid w:val="002531BE"/>
    <w:rsid w:val="002576AB"/>
    <w:rsid w:val="0025796F"/>
    <w:rsid w:val="002664D3"/>
    <w:rsid w:val="00270ED2"/>
    <w:rsid w:val="00271B6E"/>
    <w:rsid w:val="00281A95"/>
    <w:rsid w:val="00282CAF"/>
    <w:rsid w:val="00286F17"/>
    <w:rsid w:val="00295A67"/>
    <w:rsid w:val="00295ED7"/>
    <w:rsid w:val="00297704"/>
    <w:rsid w:val="002A6296"/>
    <w:rsid w:val="002A62F0"/>
    <w:rsid w:val="002C3005"/>
    <w:rsid w:val="002D0F72"/>
    <w:rsid w:val="002D1690"/>
    <w:rsid w:val="002D5823"/>
    <w:rsid w:val="002D633C"/>
    <w:rsid w:val="002E22E0"/>
    <w:rsid w:val="002E261F"/>
    <w:rsid w:val="002F0A04"/>
    <w:rsid w:val="00301B2A"/>
    <w:rsid w:val="003129F1"/>
    <w:rsid w:val="0032032D"/>
    <w:rsid w:val="00327F31"/>
    <w:rsid w:val="00332AE7"/>
    <w:rsid w:val="00335630"/>
    <w:rsid w:val="00344F13"/>
    <w:rsid w:val="00346713"/>
    <w:rsid w:val="00351A86"/>
    <w:rsid w:val="00352D81"/>
    <w:rsid w:val="00354875"/>
    <w:rsid w:val="003549B3"/>
    <w:rsid w:val="0036044D"/>
    <w:rsid w:val="003617B2"/>
    <w:rsid w:val="00363855"/>
    <w:rsid w:val="00363880"/>
    <w:rsid w:val="00367531"/>
    <w:rsid w:val="00377223"/>
    <w:rsid w:val="003808BE"/>
    <w:rsid w:val="00382923"/>
    <w:rsid w:val="00384510"/>
    <w:rsid w:val="003901B3"/>
    <w:rsid w:val="003967BB"/>
    <w:rsid w:val="003A3A8E"/>
    <w:rsid w:val="003B2EC2"/>
    <w:rsid w:val="003B70A0"/>
    <w:rsid w:val="003C0478"/>
    <w:rsid w:val="003C1CC3"/>
    <w:rsid w:val="003D233E"/>
    <w:rsid w:val="003D6545"/>
    <w:rsid w:val="003F5A64"/>
    <w:rsid w:val="003F780D"/>
    <w:rsid w:val="00412968"/>
    <w:rsid w:val="00414085"/>
    <w:rsid w:val="00421103"/>
    <w:rsid w:val="00423DBB"/>
    <w:rsid w:val="004258A1"/>
    <w:rsid w:val="00430024"/>
    <w:rsid w:val="0043411E"/>
    <w:rsid w:val="00442862"/>
    <w:rsid w:val="00444DEE"/>
    <w:rsid w:val="00446AFF"/>
    <w:rsid w:val="00456D01"/>
    <w:rsid w:val="004644FB"/>
    <w:rsid w:val="00471F61"/>
    <w:rsid w:val="00475814"/>
    <w:rsid w:val="00475A84"/>
    <w:rsid w:val="00493994"/>
    <w:rsid w:val="004C50EA"/>
    <w:rsid w:val="004D04EA"/>
    <w:rsid w:val="004D175F"/>
    <w:rsid w:val="0050653B"/>
    <w:rsid w:val="00510DD5"/>
    <w:rsid w:val="00513F28"/>
    <w:rsid w:val="00527E28"/>
    <w:rsid w:val="00535B3F"/>
    <w:rsid w:val="00544E86"/>
    <w:rsid w:val="0055117F"/>
    <w:rsid w:val="0055335D"/>
    <w:rsid w:val="00557BBC"/>
    <w:rsid w:val="0056014F"/>
    <w:rsid w:val="005738FE"/>
    <w:rsid w:val="00574079"/>
    <w:rsid w:val="005753CA"/>
    <w:rsid w:val="0059465D"/>
    <w:rsid w:val="00596689"/>
    <w:rsid w:val="005A507E"/>
    <w:rsid w:val="005A6CF1"/>
    <w:rsid w:val="005B5C7F"/>
    <w:rsid w:val="005C3AD9"/>
    <w:rsid w:val="005C7C78"/>
    <w:rsid w:val="005D0484"/>
    <w:rsid w:val="005D127C"/>
    <w:rsid w:val="005D1BAC"/>
    <w:rsid w:val="005D60CD"/>
    <w:rsid w:val="005D7533"/>
    <w:rsid w:val="005D7721"/>
    <w:rsid w:val="005E0D79"/>
    <w:rsid w:val="005F0BD8"/>
    <w:rsid w:val="005F1087"/>
    <w:rsid w:val="005F197E"/>
    <w:rsid w:val="005F5DE3"/>
    <w:rsid w:val="006021C7"/>
    <w:rsid w:val="0060503D"/>
    <w:rsid w:val="00606DD8"/>
    <w:rsid w:val="006101AF"/>
    <w:rsid w:val="006106CD"/>
    <w:rsid w:val="00611384"/>
    <w:rsid w:val="006135EF"/>
    <w:rsid w:val="006165BA"/>
    <w:rsid w:val="00625D60"/>
    <w:rsid w:val="00641ABE"/>
    <w:rsid w:val="00647E03"/>
    <w:rsid w:val="00651E58"/>
    <w:rsid w:val="006555BD"/>
    <w:rsid w:val="00664393"/>
    <w:rsid w:val="00665ECC"/>
    <w:rsid w:val="0067264B"/>
    <w:rsid w:val="00675EAE"/>
    <w:rsid w:val="006819DE"/>
    <w:rsid w:val="00683D02"/>
    <w:rsid w:val="006861B6"/>
    <w:rsid w:val="00687FE9"/>
    <w:rsid w:val="00691DF0"/>
    <w:rsid w:val="0069652C"/>
    <w:rsid w:val="006A5598"/>
    <w:rsid w:val="006A5B5B"/>
    <w:rsid w:val="006C3556"/>
    <w:rsid w:val="006C5629"/>
    <w:rsid w:val="006C713C"/>
    <w:rsid w:val="006D2378"/>
    <w:rsid w:val="006D5A0B"/>
    <w:rsid w:val="006E16D9"/>
    <w:rsid w:val="006E247E"/>
    <w:rsid w:val="006F0A50"/>
    <w:rsid w:val="006F3792"/>
    <w:rsid w:val="006F3DFC"/>
    <w:rsid w:val="00701003"/>
    <w:rsid w:val="00702CB1"/>
    <w:rsid w:val="00711454"/>
    <w:rsid w:val="00712EC8"/>
    <w:rsid w:val="007365D5"/>
    <w:rsid w:val="0074043F"/>
    <w:rsid w:val="0074172A"/>
    <w:rsid w:val="007476EA"/>
    <w:rsid w:val="00771BFC"/>
    <w:rsid w:val="00775B30"/>
    <w:rsid w:val="00777AC7"/>
    <w:rsid w:val="00787E42"/>
    <w:rsid w:val="00793388"/>
    <w:rsid w:val="007A0470"/>
    <w:rsid w:val="007A101C"/>
    <w:rsid w:val="007A2A75"/>
    <w:rsid w:val="007B623B"/>
    <w:rsid w:val="007B7606"/>
    <w:rsid w:val="007E0722"/>
    <w:rsid w:val="007F522F"/>
    <w:rsid w:val="00801997"/>
    <w:rsid w:val="00805CDC"/>
    <w:rsid w:val="0081497E"/>
    <w:rsid w:val="00836A05"/>
    <w:rsid w:val="00836E0F"/>
    <w:rsid w:val="00837C9B"/>
    <w:rsid w:val="00853CA4"/>
    <w:rsid w:val="0085702F"/>
    <w:rsid w:val="008571B6"/>
    <w:rsid w:val="008611A2"/>
    <w:rsid w:val="00870A84"/>
    <w:rsid w:val="00874E1E"/>
    <w:rsid w:val="00877D36"/>
    <w:rsid w:val="0089032F"/>
    <w:rsid w:val="0089151E"/>
    <w:rsid w:val="00891F8E"/>
    <w:rsid w:val="00892091"/>
    <w:rsid w:val="008A49A1"/>
    <w:rsid w:val="008A4EAD"/>
    <w:rsid w:val="008B08A4"/>
    <w:rsid w:val="008B0B3B"/>
    <w:rsid w:val="008B30D9"/>
    <w:rsid w:val="008B427C"/>
    <w:rsid w:val="008B5941"/>
    <w:rsid w:val="008B6142"/>
    <w:rsid w:val="008C0027"/>
    <w:rsid w:val="008C354F"/>
    <w:rsid w:val="008C55FB"/>
    <w:rsid w:val="008D19FB"/>
    <w:rsid w:val="008E2E86"/>
    <w:rsid w:val="008E3E85"/>
    <w:rsid w:val="008F1458"/>
    <w:rsid w:val="008F16D9"/>
    <w:rsid w:val="008F4E85"/>
    <w:rsid w:val="008F7A27"/>
    <w:rsid w:val="00900310"/>
    <w:rsid w:val="00903171"/>
    <w:rsid w:val="00913D66"/>
    <w:rsid w:val="00922522"/>
    <w:rsid w:val="00930351"/>
    <w:rsid w:val="0093188D"/>
    <w:rsid w:val="0094287D"/>
    <w:rsid w:val="0094388B"/>
    <w:rsid w:val="00957387"/>
    <w:rsid w:val="00967071"/>
    <w:rsid w:val="00974425"/>
    <w:rsid w:val="0097678C"/>
    <w:rsid w:val="00980429"/>
    <w:rsid w:val="00980993"/>
    <w:rsid w:val="009919E4"/>
    <w:rsid w:val="009A365F"/>
    <w:rsid w:val="009B0FCD"/>
    <w:rsid w:val="009B69CC"/>
    <w:rsid w:val="009D2A40"/>
    <w:rsid w:val="009D4E3E"/>
    <w:rsid w:val="009D67FD"/>
    <w:rsid w:val="009E5ACC"/>
    <w:rsid w:val="009E5B35"/>
    <w:rsid w:val="009F6667"/>
    <w:rsid w:val="009F6872"/>
    <w:rsid w:val="00A02DB3"/>
    <w:rsid w:val="00A10E7F"/>
    <w:rsid w:val="00A17844"/>
    <w:rsid w:val="00A326BA"/>
    <w:rsid w:val="00A37B70"/>
    <w:rsid w:val="00A43B49"/>
    <w:rsid w:val="00A4782A"/>
    <w:rsid w:val="00A505E5"/>
    <w:rsid w:val="00A544C4"/>
    <w:rsid w:val="00A63EE8"/>
    <w:rsid w:val="00A6790C"/>
    <w:rsid w:val="00A80D54"/>
    <w:rsid w:val="00A82C0E"/>
    <w:rsid w:val="00A85686"/>
    <w:rsid w:val="00A85A10"/>
    <w:rsid w:val="00A92F43"/>
    <w:rsid w:val="00A93EF8"/>
    <w:rsid w:val="00A96C2F"/>
    <w:rsid w:val="00AA189E"/>
    <w:rsid w:val="00AA728B"/>
    <w:rsid w:val="00AB0212"/>
    <w:rsid w:val="00AB1E0C"/>
    <w:rsid w:val="00AB2895"/>
    <w:rsid w:val="00AC5296"/>
    <w:rsid w:val="00AD3C7C"/>
    <w:rsid w:val="00AE1C3A"/>
    <w:rsid w:val="00AF1AEF"/>
    <w:rsid w:val="00AF49CF"/>
    <w:rsid w:val="00B01369"/>
    <w:rsid w:val="00B0192B"/>
    <w:rsid w:val="00B02010"/>
    <w:rsid w:val="00B032AA"/>
    <w:rsid w:val="00B05563"/>
    <w:rsid w:val="00B06183"/>
    <w:rsid w:val="00B1345D"/>
    <w:rsid w:val="00B1611B"/>
    <w:rsid w:val="00B16262"/>
    <w:rsid w:val="00B239EB"/>
    <w:rsid w:val="00B334C4"/>
    <w:rsid w:val="00B339D1"/>
    <w:rsid w:val="00B363F1"/>
    <w:rsid w:val="00B470E4"/>
    <w:rsid w:val="00B51781"/>
    <w:rsid w:val="00B53B8F"/>
    <w:rsid w:val="00B72F38"/>
    <w:rsid w:val="00B762B4"/>
    <w:rsid w:val="00B830D5"/>
    <w:rsid w:val="00B95046"/>
    <w:rsid w:val="00BA1CC8"/>
    <w:rsid w:val="00BA3ADF"/>
    <w:rsid w:val="00BB65A3"/>
    <w:rsid w:val="00BC0A4F"/>
    <w:rsid w:val="00BC3267"/>
    <w:rsid w:val="00BC4F96"/>
    <w:rsid w:val="00BD01CC"/>
    <w:rsid w:val="00BD74A8"/>
    <w:rsid w:val="00BE6C4D"/>
    <w:rsid w:val="00BF0D29"/>
    <w:rsid w:val="00BF5D07"/>
    <w:rsid w:val="00C032F1"/>
    <w:rsid w:val="00C151E4"/>
    <w:rsid w:val="00C17A5D"/>
    <w:rsid w:val="00C17BFF"/>
    <w:rsid w:val="00C21DC3"/>
    <w:rsid w:val="00C271D1"/>
    <w:rsid w:val="00C30967"/>
    <w:rsid w:val="00C37778"/>
    <w:rsid w:val="00C54A6C"/>
    <w:rsid w:val="00C559CE"/>
    <w:rsid w:val="00C56AA8"/>
    <w:rsid w:val="00C6262A"/>
    <w:rsid w:val="00C66745"/>
    <w:rsid w:val="00C67017"/>
    <w:rsid w:val="00C8509B"/>
    <w:rsid w:val="00C871D1"/>
    <w:rsid w:val="00C910E3"/>
    <w:rsid w:val="00C91FD6"/>
    <w:rsid w:val="00C94D77"/>
    <w:rsid w:val="00C9539D"/>
    <w:rsid w:val="00C95DFC"/>
    <w:rsid w:val="00C96931"/>
    <w:rsid w:val="00CA791F"/>
    <w:rsid w:val="00CB13E6"/>
    <w:rsid w:val="00CC1F71"/>
    <w:rsid w:val="00CC472F"/>
    <w:rsid w:val="00CE0088"/>
    <w:rsid w:val="00CF00EE"/>
    <w:rsid w:val="00CF0BA4"/>
    <w:rsid w:val="00D00CA4"/>
    <w:rsid w:val="00D03178"/>
    <w:rsid w:val="00D10FFB"/>
    <w:rsid w:val="00D140BF"/>
    <w:rsid w:val="00D24D2F"/>
    <w:rsid w:val="00D32158"/>
    <w:rsid w:val="00D45012"/>
    <w:rsid w:val="00D459BE"/>
    <w:rsid w:val="00D460C7"/>
    <w:rsid w:val="00D56D3C"/>
    <w:rsid w:val="00D57F02"/>
    <w:rsid w:val="00D71AE3"/>
    <w:rsid w:val="00D8727E"/>
    <w:rsid w:val="00D91EFC"/>
    <w:rsid w:val="00D968D3"/>
    <w:rsid w:val="00D96D68"/>
    <w:rsid w:val="00DA19CD"/>
    <w:rsid w:val="00DB07AA"/>
    <w:rsid w:val="00DB53EC"/>
    <w:rsid w:val="00DD13E1"/>
    <w:rsid w:val="00DD4382"/>
    <w:rsid w:val="00DF7912"/>
    <w:rsid w:val="00E157EF"/>
    <w:rsid w:val="00E35F7C"/>
    <w:rsid w:val="00E43C49"/>
    <w:rsid w:val="00E45E24"/>
    <w:rsid w:val="00E47C14"/>
    <w:rsid w:val="00E63125"/>
    <w:rsid w:val="00E72121"/>
    <w:rsid w:val="00E76DE9"/>
    <w:rsid w:val="00E90115"/>
    <w:rsid w:val="00E90231"/>
    <w:rsid w:val="00E91ABF"/>
    <w:rsid w:val="00E94AA0"/>
    <w:rsid w:val="00E95E35"/>
    <w:rsid w:val="00EA0706"/>
    <w:rsid w:val="00EB0F49"/>
    <w:rsid w:val="00EB1B00"/>
    <w:rsid w:val="00EB45AC"/>
    <w:rsid w:val="00EC2E5A"/>
    <w:rsid w:val="00EC405F"/>
    <w:rsid w:val="00EC6B22"/>
    <w:rsid w:val="00EC7F39"/>
    <w:rsid w:val="00ED2525"/>
    <w:rsid w:val="00ED5199"/>
    <w:rsid w:val="00F15E99"/>
    <w:rsid w:val="00F2240C"/>
    <w:rsid w:val="00F27085"/>
    <w:rsid w:val="00F430BF"/>
    <w:rsid w:val="00F43759"/>
    <w:rsid w:val="00F442A2"/>
    <w:rsid w:val="00F467F1"/>
    <w:rsid w:val="00F539DA"/>
    <w:rsid w:val="00F53B35"/>
    <w:rsid w:val="00F56809"/>
    <w:rsid w:val="00F60AAD"/>
    <w:rsid w:val="00F60BA6"/>
    <w:rsid w:val="00F70118"/>
    <w:rsid w:val="00F7189F"/>
    <w:rsid w:val="00F71A1F"/>
    <w:rsid w:val="00F76576"/>
    <w:rsid w:val="00F7761D"/>
    <w:rsid w:val="00F83083"/>
    <w:rsid w:val="00F866BD"/>
    <w:rsid w:val="00FA52C8"/>
    <w:rsid w:val="00FB0E2A"/>
    <w:rsid w:val="00FC7EB4"/>
    <w:rsid w:val="00FD0BD7"/>
    <w:rsid w:val="00FE7EA7"/>
    <w:rsid w:val="00FF020C"/>
    <w:rsid w:val="00FF0C18"/>
    <w:rsid w:val="00FF3C6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786DF"/>
  <w15:docId w15:val="{96D74463-BD32-44D3-86CB-94C5AE4D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rsid w:val="00B339D1"/>
    <w:pPr>
      <w:keepNext/>
      <w:keepLines/>
      <w:spacing w:before="360" w:after="80"/>
      <w:outlineLvl w:val="1"/>
    </w:pPr>
    <w:rPr>
      <w:b/>
      <w:sz w:val="36"/>
      <w:szCs w:val="36"/>
    </w:rPr>
  </w:style>
  <w:style w:type="paragraph" w:styleId="Ttulo3">
    <w:name w:val="heading 3"/>
    <w:basedOn w:val="Normal"/>
    <w:next w:val="Normal"/>
    <w:rsid w:val="00B339D1"/>
    <w:pPr>
      <w:keepNext/>
      <w:keepLines/>
      <w:spacing w:before="280" w:after="80"/>
      <w:outlineLvl w:val="2"/>
    </w:pPr>
    <w:rPr>
      <w:b/>
      <w:sz w:val="28"/>
      <w:szCs w:val="28"/>
    </w:rPr>
  </w:style>
  <w:style w:type="paragraph" w:styleId="Ttulo4">
    <w:name w:val="heading 4"/>
    <w:basedOn w:val="Normal"/>
    <w:next w:val="Normal"/>
    <w:rsid w:val="00B339D1"/>
    <w:pPr>
      <w:keepNext/>
      <w:keepLines/>
      <w:spacing w:before="240" w:after="40"/>
      <w:outlineLvl w:val="3"/>
    </w:pPr>
    <w:rPr>
      <w:b/>
      <w:sz w:val="24"/>
    </w:rPr>
  </w:style>
  <w:style w:type="paragraph" w:styleId="Ttulo5">
    <w:name w:val="heading 5"/>
    <w:basedOn w:val="Normal"/>
    <w:next w:val="Normal"/>
    <w:rsid w:val="00B339D1"/>
    <w:pPr>
      <w:keepNext/>
      <w:keepLines/>
      <w:spacing w:before="220" w:after="40"/>
      <w:outlineLvl w:val="4"/>
    </w:pPr>
    <w:rPr>
      <w:b/>
      <w:sz w:val="22"/>
      <w:szCs w:val="22"/>
    </w:rPr>
  </w:style>
  <w:style w:type="paragraph" w:styleId="Ttulo6">
    <w:name w:val="heading 6"/>
    <w:basedOn w:val="Normal"/>
    <w:next w:val="Normal"/>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339D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rsid w:val="00B339D1"/>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customStyle="1" w:styleId="Mencinsinresolver4">
    <w:name w:val="Mención sin resolver4"/>
    <w:basedOn w:val="Fuentedeprrafopredeter"/>
    <w:uiPriority w:val="99"/>
    <w:semiHidden/>
    <w:unhideWhenUsed/>
    <w:rsid w:val="008E3E85"/>
    <w:rPr>
      <w:color w:val="605E5C"/>
      <w:shd w:val="clear" w:color="auto" w:fill="E1DFDD"/>
    </w:rPr>
  </w:style>
  <w:style w:type="character" w:styleId="Mencinsinresolver">
    <w:name w:val="Unresolved Mention"/>
    <w:basedOn w:val="Fuentedeprrafopredeter"/>
    <w:uiPriority w:val="99"/>
    <w:semiHidden/>
    <w:unhideWhenUsed/>
    <w:rsid w:val="007A1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5874">
      <w:bodyDiv w:val="1"/>
      <w:marLeft w:val="0"/>
      <w:marRight w:val="0"/>
      <w:marTop w:val="0"/>
      <w:marBottom w:val="0"/>
      <w:divBdr>
        <w:top w:val="none" w:sz="0" w:space="0" w:color="auto"/>
        <w:left w:val="none" w:sz="0" w:space="0" w:color="auto"/>
        <w:bottom w:val="none" w:sz="0" w:space="0" w:color="auto"/>
        <w:right w:val="none" w:sz="0" w:space="0" w:color="auto"/>
      </w:divBdr>
    </w:div>
    <w:div w:id="250429481">
      <w:bodyDiv w:val="1"/>
      <w:marLeft w:val="0"/>
      <w:marRight w:val="0"/>
      <w:marTop w:val="0"/>
      <w:marBottom w:val="0"/>
      <w:divBdr>
        <w:top w:val="none" w:sz="0" w:space="0" w:color="auto"/>
        <w:left w:val="none" w:sz="0" w:space="0" w:color="auto"/>
        <w:bottom w:val="none" w:sz="0" w:space="0" w:color="auto"/>
        <w:right w:val="none" w:sz="0" w:space="0" w:color="auto"/>
      </w:divBdr>
    </w:div>
    <w:div w:id="428551243">
      <w:bodyDiv w:val="1"/>
      <w:marLeft w:val="0"/>
      <w:marRight w:val="0"/>
      <w:marTop w:val="0"/>
      <w:marBottom w:val="0"/>
      <w:divBdr>
        <w:top w:val="none" w:sz="0" w:space="0" w:color="auto"/>
        <w:left w:val="none" w:sz="0" w:space="0" w:color="auto"/>
        <w:bottom w:val="none" w:sz="0" w:space="0" w:color="auto"/>
        <w:right w:val="none" w:sz="0" w:space="0" w:color="auto"/>
      </w:divBdr>
    </w:div>
    <w:div w:id="510994193">
      <w:bodyDiv w:val="1"/>
      <w:marLeft w:val="0"/>
      <w:marRight w:val="0"/>
      <w:marTop w:val="0"/>
      <w:marBottom w:val="0"/>
      <w:divBdr>
        <w:top w:val="none" w:sz="0" w:space="0" w:color="auto"/>
        <w:left w:val="none" w:sz="0" w:space="0" w:color="auto"/>
        <w:bottom w:val="none" w:sz="0" w:space="0" w:color="auto"/>
        <w:right w:val="none" w:sz="0" w:space="0" w:color="auto"/>
      </w:divBdr>
    </w:div>
    <w:div w:id="634531563">
      <w:bodyDiv w:val="1"/>
      <w:marLeft w:val="0"/>
      <w:marRight w:val="0"/>
      <w:marTop w:val="0"/>
      <w:marBottom w:val="0"/>
      <w:divBdr>
        <w:top w:val="none" w:sz="0" w:space="0" w:color="auto"/>
        <w:left w:val="none" w:sz="0" w:space="0" w:color="auto"/>
        <w:bottom w:val="none" w:sz="0" w:space="0" w:color="auto"/>
        <w:right w:val="none" w:sz="0" w:space="0" w:color="auto"/>
      </w:divBdr>
    </w:div>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1182865635">
      <w:bodyDiv w:val="1"/>
      <w:marLeft w:val="0"/>
      <w:marRight w:val="0"/>
      <w:marTop w:val="0"/>
      <w:marBottom w:val="0"/>
      <w:divBdr>
        <w:top w:val="none" w:sz="0" w:space="0" w:color="auto"/>
        <w:left w:val="none" w:sz="0" w:space="0" w:color="auto"/>
        <w:bottom w:val="none" w:sz="0" w:space="0" w:color="auto"/>
        <w:right w:val="none" w:sz="0" w:space="0" w:color="auto"/>
      </w:divBdr>
    </w:div>
    <w:div w:id="1516724823">
      <w:bodyDiv w:val="1"/>
      <w:marLeft w:val="0"/>
      <w:marRight w:val="0"/>
      <w:marTop w:val="0"/>
      <w:marBottom w:val="0"/>
      <w:divBdr>
        <w:top w:val="none" w:sz="0" w:space="0" w:color="auto"/>
        <w:left w:val="none" w:sz="0" w:space="0" w:color="auto"/>
        <w:bottom w:val="none" w:sz="0" w:space="0" w:color="auto"/>
        <w:right w:val="none" w:sz="0" w:space="0" w:color="auto"/>
      </w:divBdr>
    </w:div>
    <w:div w:id="1629166600">
      <w:bodyDiv w:val="1"/>
      <w:marLeft w:val="0"/>
      <w:marRight w:val="0"/>
      <w:marTop w:val="0"/>
      <w:marBottom w:val="0"/>
      <w:divBdr>
        <w:top w:val="none" w:sz="0" w:space="0" w:color="auto"/>
        <w:left w:val="none" w:sz="0" w:space="0" w:color="auto"/>
        <w:bottom w:val="none" w:sz="0" w:space="0" w:color="auto"/>
        <w:right w:val="none" w:sz="0" w:space="0" w:color="auto"/>
      </w:divBdr>
    </w:div>
    <w:div w:id="1866555041">
      <w:bodyDiv w:val="1"/>
      <w:marLeft w:val="0"/>
      <w:marRight w:val="0"/>
      <w:marTop w:val="0"/>
      <w:marBottom w:val="0"/>
      <w:divBdr>
        <w:top w:val="none" w:sz="0" w:space="0" w:color="auto"/>
        <w:left w:val="none" w:sz="0" w:space="0" w:color="auto"/>
        <w:bottom w:val="none" w:sz="0" w:space="0" w:color="auto"/>
        <w:right w:val="none" w:sz="0" w:space="0" w:color="auto"/>
      </w:divBdr>
    </w:div>
    <w:div w:id="1942519249">
      <w:bodyDiv w:val="1"/>
      <w:marLeft w:val="0"/>
      <w:marRight w:val="0"/>
      <w:marTop w:val="0"/>
      <w:marBottom w:val="0"/>
      <w:divBdr>
        <w:top w:val="none" w:sz="0" w:space="0" w:color="auto"/>
        <w:left w:val="none" w:sz="0" w:space="0" w:color="auto"/>
        <w:bottom w:val="none" w:sz="0" w:space="0" w:color="auto"/>
        <w:right w:val="none" w:sz="0" w:space="0" w:color="auto"/>
      </w:divBdr>
    </w:div>
    <w:div w:id="21240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rcid.org/0000-0001-9620-4355"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hyperlink" Target="https://doi.org/10.22529/me.2024.9(3)04"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s5fzfASH8DkhRCXkWEcYPk8Gw==">AMUW2mU4ol2CT+AN8rEqn8/PBnYFHe79z2I4FIkbVlCxXjNYeIKQlb56DZy8MRbdr8Bfds0M4WvgZ5A4/CuWpy5GXYemXlFfzqe9arFnfx4R1jtj977d5a+gKvqfPsDHnqSbzSRpzKk7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00C4E3-715D-4A0F-96D6-2B46B702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3219</Words>
  <Characters>17706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2022-04-08T18:57:00Z</cp:lastPrinted>
  <dcterms:created xsi:type="dcterms:W3CDTF">2024-07-01T16:04:00Z</dcterms:created>
  <dcterms:modified xsi:type="dcterms:W3CDTF">2024-07-01T16:04:00Z</dcterms:modified>
</cp:coreProperties>
</file>