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90" w:rsidRDefault="000328E8" w:rsidP="0034507E">
      <w:r>
        <w:pict w14:anchorId="1B33AB3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7728;visibility:hidden">
            <o:lock v:ext="edit" selection="t"/>
          </v:shape>
        </w:pict>
      </w:r>
      <w:r>
        <w:pict w14:anchorId="283C7AB5">
          <v:shape id="_x0000_s1027" type="#_x0000_t136" style="position:absolute;margin-left:0;margin-top:0;width:50pt;height:50pt;z-index:251658752;visibility:hidden">
            <o:lock v:ext="edit" selection="t"/>
          </v:shape>
        </w:pict>
      </w:r>
      <w:r>
        <w:pict w14:anchorId="277562B3">
          <v:shape id="_x0000_s1026" type="#_x0000_t136" style="position:absolute;margin-left:0;margin-top:0;width:50pt;height:50pt;z-index:251659776;visibility:hidden">
            <o:lock v:ext="edit" selection="t"/>
          </v:shape>
        </w:pict>
      </w:r>
    </w:p>
    <w:p w:rsidR="005C3890" w:rsidRDefault="00693905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</w:t>
      </w:r>
      <w:r w:rsidR="00882C21">
        <w:rPr>
          <w:rFonts w:ascii="Arial" w:eastAsia="Arial" w:hAnsi="Arial" w:cs="Arial"/>
          <w:b w:val="0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b w:val="0"/>
          <w:sz w:val="20"/>
          <w:szCs w:val="20"/>
        </w:rPr>
        <w:t xml:space="preserve">PRACTICA PROFESIONAL Rev. </w:t>
      </w:r>
      <w:proofErr w:type="spellStart"/>
      <w:r w:rsidR="00882C21">
        <w:rPr>
          <w:rFonts w:ascii="Arial" w:eastAsia="Arial" w:hAnsi="Arial" w:cs="Arial"/>
          <w:b w:val="0"/>
          <w:sz w:val="18"/>
          <w:szCs w:val="18"/>
        </w:rPr>
        <w:t>Methodo</w:t>
      </w:r>
      <w:proofErr w:type="spellEnd"/>
      <w:r w:rsidR="00882C21">
        <w:rPr>
          <w:rFonts w:ascii="Arial" w:eastAsia="Arial" w:hAnsi="Arial" w:cs="Arial"/>
          <w:b w:val="0"/>
          <w:sz w:val="18"/>
          <w:szCs w:val="18"/>
        </w:rPr>
        <w:t xml:space="preserve"> 2024;9(2):38-39</w:t>
      </w:r>
    </w:p>
    <w:bookmarkStart w:id="1" w:name="_heading=h.gjdgxs" w:colFirst="0" w:colLast="0"/>
    <w:bookmarkEnd w:id="1"/>
    <w:p w:rsidR="005C3890" w:rsidRPr="00882C21" w:rsidRDefault="00882C21">
      <w:pPr>
        <w:pStyle w:val="Ttulo1"/>
        <w:spacing w:before="0" w:after="0"/>
        <w:ind w:hanging="142"/>
        <w:jc w:val="right"/>
        <w:rPr>
          <w:rFonts w:ascii="Arial" w:eastAsia="Arial" w:hAnsi="Arial" w:cs="Arial"/>
          <w:b w:val="0"/>
          <w:sz w:val="16"/>
          <w:szCs w:val="16"/>
        </w:rPr>
      </w:pPr>
      <w:r w:rsidRPr="00882C21">
        <w:rPr>
          <w:rFonts w:ascii="Verdana" w:eastAsia="Verdana" w:hAnsi="Verdana" w:cs="Verdana"/>
          <w:b w:val="0"/>
          <w:sz w:val="17"/>
          <w:szCs w:val="17"/>
        </w:rPr>
        <w:fldChar w:fldCharType="begin"/>
      </w:r>
      <w:r w:rsidRPr="00882C21">
        <w:rPr>
          <w:rFonts w:ascii="Verdana" w:eastAsia="Verdana" w:hAnsi="Verdana" w:cs="Verdana"/>
          <w:b w:val="0"/>
          <w:sz w:val="17"/>
          <w:szCs w:val="17"/>
        </w:rPr>
        <w:instrText xml:space="preserve"> HYPERLINK "https://doi.org/10.22529/me.2024.9(2)07" </w:instrText>
      </w:r>
      <w:r w:rsidRPr="00882C21">
        <w:rPr>
          <w:rFonts w:ascii="Verdana" w:eastAsia="Verdana" w:hAnsi="Verdana" w:cs="Verdana"/>
          <w:b w:val="0"/>
          <w:sz w:val="17"/>
          <w:szCs w:val="17"/>
        </w:rPr>
        <w:fldChar w:fldCharType="separate"/>
      </w:r>
      <w:r w:rsidR="00693905" w:rsidRPr="00882C21">
        <w:rPr>
          <w:rStyle w:val="Hipervnculo"/>
          <w:rFonts w:ascii="Verdana" w:eastAsia="Verdana" w:hAnsi="Verdana" w:cs="Verdana"/>
          <w:b w:val="0"/>
          <w:color w:val="auto"/>
          <w:sz w:val="17"/>
          <w:szCs w:val="17"/>
        </w:rPr>
        <w:t>https://doi.org/10.22529/me.2024.9</w:t>
      </w:r>
      <w:r w:rsidR="00693905" w:rsidRPr="00882C21">
        <w:rPr>
          <w:rStyle w:val="Hipervnculo"/>
          <w:rFonts w:ascii="Verdana" w:eastAsia="Verdana" w:hAnsi="Verdana" w:cs="Verdana"/>
          <w:b w:val="0"/>
          <w:color w:val="auto"/>
          <w:sz w:val="16"/>
          <w:szCs w:val="16"/>
          <w:highlight w:val="white"/>
        </w:rPr>
        <w:t>(2)</w:t>
      </w:r>
      <w:r w:rsidRPr="00882C21">
        <w:rPr>
          <w:rStyle w:val="Hipervnculo"/>
          <w:rFonts w:ascii="Verdana" w:eastAsia="Verdana" w:hAnsi="Verdana" w:cs="Verdana"/>
          <w:b w:val="0"/>
          <w:color w:val="auto"/>
          <w:sz w:val="16"/>
          <w:szCs w:val="16"/>
        </w:rPr>
        <w:t>07</w:t>
      </w:r>
      <w:r w:rsidRPr="00882C21">
        <w:rPr>
          <w:rFonts w:ascii="Verdana" w:eastAsia="Verdana" w:hAnsi="Verdana" w:cs="Verdana"/>
          <w:b w:val="0"/>
          <w:sz w:val="17"/>
          <w:szCs w:val="17"/>
        </w:rPr>
        <w:fldChar w:fldCharType="end"/>
      </w:r>
    </w:p>
    <w:tbl>
      <w:tblPr>
        <w:tblStyle w:val="a3"/>
        <w:tblW w:w="8593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564"/>
        <w:gridCol w:w="3029"/>
      </w:tblGrid>
      <w:tr w:rsidR="005C3890">
        <w:trPr>
          <w:trHeight w:val="169"/>
        </w:trPr>
        <w:tc>
          <w:tcPr>
            <w:tcW w:w="5564" w:type="dxa"/>
            <w:vAlign w:val="center"/>
          </w:tcPr>
          <w:p w:rsidR="005C3890" w:rsidRDefault="00693905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</w:t>
            </w:r>
            <w:r w:rsidR="00882C21">
              <w:rPr>
                <w:rFonts w:ascii="Arial" w:eastAsia="Arial" w:hAnsi="Arial" w:cs="Arial"/>
                <w:sz w:val="16"/>
                <w:szCs w:val="16"/>
              </w:rPr>
              <w:t xml:space="preserve">                     Recibido 29 Ene. 2024 </w:t>
            </w:r>
            <w:r>
              <w:rPr>
                <w:rFonts w:ascii="Arial" w:eastAsia="Arial" w:hAnsi="Arial" w:cs="Arial"/>
                <w:sz w:val="16"/>
                <w:szCs w:val="16"/>
              </w:rPr>
              <w:t>| Publicado 05 Abr. 2024</w:t>
            </w:r>
          </w:p>
        </w:tc>
        <w:tc>
          <w:tcPr>
            <w:tcW w:w="3029" w:type="dxa"/>
            <w:shd w:val="clear" w:color="auto" w:fill="509E2F"/>
            <w:vAlign w:val="center"/>
          </w:tcPr>
          <w:p w:rsidR="005C3890" w:rsidRDefault="005C3890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5C3890" w:rsidRDefault="005C3890">
      <w:pPr>
        <w:spacing w:line="360" w:lineRule="auto"/>
        <w:jc w:val="both"/>
        <w:rPr>
          <w:sz w:val="20"/>
          <w:szCs w:val="20"/>
        </w:rPr>
      </w:pPr>
    </w:p>
    <w:tbl>
      <w:tblPr>
        <w:tblStyle w:val="a4"/>
        <w:tblW w:w="86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5C3890" w:rsidRPr="00C367DC">
        <w:trPr>
          <w:trHeight w:val="941"/>
        </w:trPr>
        <w:tc>
          <w:tcPr>
            <w:tcW w:w="8647" w:type="dxa"/>
          </w:tcPr>
          <w:p w:rsidR="005C3890" w:rsidRDefault="009F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Relación médico</w:t>
            </w:r>
            <w:r w:rsidR="00693905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/paciente: factores que l</w:t>
            </w:r>
            <w:r w:rsidR="00E1181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</w:t>
            </w:r>
            <w:r w:rsidR="00693905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han distorsionado </w:t>
            </w:r>
          </w:p>
          <w:p w:rsidR="005C3890" w:rsidRPr="00D939D7" w:rsidRDefault="00693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</w:pPr>
            <w:bookmarkStart w:id="2" w:name="_heading=h.1fob9te" w:colFirst="0" w:colLast="0"/>
            <w:bookmarkEnd w:id="2"/>
            <w:r w:rsidRPr="00D939D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>Doctor/patient relationship: factors that have distorted it</w:t>
            </w:r>
          </w:p>
        </w:tc>
      </w:tr>
      <w:tr w:rsidR="005C3890">
        <w:trPr>
          <w:trHeight w:val="566"/>
        </w:trPr>
        <w:tc>
          <w:tcPr>
            <w:tcW w:w="8647" w:type="dxa"/>
          </w:tcPr>
          <w:p w:rsidR="005C3890" w:rsidRDefault="00693905">
            <w:pPr>
              <w:rPr>
                <w:color w:val="005000"/>
                <w:sz w:val="20"/>
                <w:szCs w:val="20"/>
              </w:rPr>
            </w:pPr>
            <w:r>
              <w:rPr>
                <w:sz w:val="20"/>
                <w:szCs w:val="20"/>
              </w:rPr>
              <w:t>Cipriano Eduardo Rougier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23785" cy="180271"/>
                  <wp:effectExtent l="0" t="0" r="0" b="0"/>
                  <wp:docPr id="9" name="image1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85" cy="1802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890">
        <w:trPr>
          <w:trHeight w:val="278"/>
        </w:trPr>
        <w:tc>
          <w:tcPr>
            <w:tcW w:w="8647" w:type="dxa"/>
          </w:tcPr>
          <w:p w:rsidR="005C3890" w:rsidRDefault="005C3890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20"/>
                <w:szCs w:val="20"/>
                <w:highlight w:val="yellow"/>
              </w:rPr>
            </w:pPr>
          </w:p>
        </w:tc>
      </w:tr>
      <w:tr w:rsidR="005C3890">
        <w:trPr>
          <w:trHeight w:val="23"/>
        </w:trPr>
        <w:tc>
          <w:tcPr>
            <w:tcW w:w="8647" w:type="dxa"/>
          </w:tcPr>
          <w:p w:rsidR="005C3890" w:rsidRDefault="005C3890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16"/>
                <w:szCs w:val="16"/>
              </w:rPr>
            </w:pPr>
          </w:p>
        </w:tc>
      </w:tr>
      <w:tr w:rsidR="005C3890">
        <w:trPr>
          <w:trHeight w:val="621"/>
        </w:trPr>
        <w:tc>
          <w:tcPr>
            <w:tcW w:w="8647" w:type="dxa"/>
          </w:tcPr>
          <w:p w:rsidR="005C3890" w:rsidRDefault="00693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 xml:space="preserve">1. Clínica Universitaria Reina Fabiola. Servicio de Pediatría. </w:t>
            </w:r>
          </w:p>
          <w:p w:rsidR="005C3890" w:rsidRDefault="00693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Correspondencia: Cipriano E. Rougier E</w:t>
            </w:r>
            <w:r w:rsidR="00964A2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mail: cerougier@hotmail.com</w:t>
            </w:r>
          </w:p>
          <w:p w:rsidR="005C3890" w:rsidRDefault="005C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5C3890" w:rsidRDefault="005C3890">
      <w:pPr>
        <w:jc w:val="both"/>
        <w:rPr>
          <w:sz w:val="20"/>
          <w:szCs w:val="20"/>
        </w:rPr>
      </w:pPr>
    </w:p>
    <w:p w:rsidR="005C3890" w:rsidRDefault="00693905">
      <w:pPr>
        <w:jc w:val="both"/>
        <w:rPr>
          <w:sz w:val="20"/>
          <w:szCs w:val="20"/>
        </w:rPr>
      </w:pPr>
      <w:r>
        <w:rPr>
          <w:sz w:val="20"/>
          <w:szCs w:val="20"/>
        </w:rPr>
        <w:t>Antes de analizar los mismos aclaro que no sé si los factores que considero están dispuestos en el mejor orden y quizás también hay algún otro factor que no he considerado.</w:t>
      </w:r>
    </w:p>
    <w:p w:rsidR="00046222" w:rsidRDefault="00046222">
      <w:pPr>
        <w:jc w:val="both"/>
        <w:rPr>
          <w:sz w:val="20"/>
          <w:szCs w:val="20"/>
        </w:rPr>
      </w:pPr>
      <w:r w:rsidRPr="00046222">
        <w:rPr>
          <w:sz w:val="20"/>
          <w:szCs w:val="20"/>
        </w:rPr>
        <w:t>Dicho esto, refiero lo siguiente</w:t>
      </w:r>
    </w:p>
    <w:p w:rsidR="005C3890" w:rsidRDefault="005C3890">
      <w:pPr>
        <w:jc w:val="both"/>
        <w:rPr>
          <w:sz w:val="20"/>
          <w:szCs w:val="20"/>
        </w:rPr>
      </w:pPr>
    </w:p>
    <w:p w:rsidR="00D939D7" w:rsidRDefault="00D939D7">
      <w:pPr>
        <w:jc w:val="both"/>
        <w:rPr>
          <w:sz w:val="20"/>
          <w:szCs w:val="20"/>
        </w:rPr>
        <w:sectPr w:rsidR="00D939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20" w:footer="720" w:gutter="0"/>
          <w:pgNumType w:start="1"/>
          <w:cols w:space="720"/>
          <w:titlePg/>
        </w:sectPr>
      </w:pPr>
    </w:p>
    <w:p w:rsidR="00225F86" w:rsidRDefault="00693905" w:rsidP="004827E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a-</w:t>
      </w:r>
      <w:r w:rsidR="00225F86" w:rsidRPr="00225F86">
        <w:rPr>
          <w:sz w:val="20"/>
          <w:szCs w:val="20"/>
        </w:rPr>
        <w:t>El advenimiento de la tecnología caló muy hondo en el quehacer médico y su aporte para alcanzar un diagnó</w:t>
      </w:r>
      <w:r w:rsidR="00C367DC">
        <w:rPr>
          <w:sz w:val="20"/>
          <w:szCs w:val="20"/>
        </w:rPr>
        <w:t>s</w:t>
      </w:r>
      <w:r w:rsidR="00225F86" w:rsidRPr="00225F86">
        <w:rPr>
          <w:sz w:val="20"/>
          <w:szCs w:val="20"/>
        </w:rPr>
        <w:t>tico de manera rápida y también efectiva tentó a los colegas a obviar o abreviar, en la consulta, los pasos habituales de la misma. Los médicos de antaño, sin estas posibilidades, se veían obligados a transitar el camino de la semiología clásica donde el primer elemento de este recorrido era y sigue siendo la anamnesis. Si la misma fue realizada de manera exhaustiva, aún hoy, se dice que con sólo esta herramienta se alcanza, en lo</w:t>
      </w:r>
      <w:r w:rsidR="00225F86">
        <w:rPr>
          <w:sz w:val="20"/>
          <w:szCs w:val="20"/>
        </w:rPr>
        <w:t>s</w:t>
      </w:r>
      <w:r w:rsidR="00225F86" w:rsidRPr="00225F86">
        <w:rPr>
          <w:sz w:val="20"/>
          <w:szCs w:val="20"/>
        </w:rPr>
        <w:t xml:space="preserve"> actos médicos, un diagnóstico certero hasta en el sesenta por ciento de los mismos.  A mí se me antoja pensar, que una anamnesis llevado a cabo con esas características vendría a representar el principal objetivo que se propone incentivar lo que ahora, se ha dado en llamar medicina narrativa. </w:t>
      </w:r>
    </w:p>
    <w:p w:rsidR="00897234" w:rsidRDefault="00897234" w:rsidP="004827E4">
      <w:pPr>
        <w:jc w:val="both"/>
        <w:rPr>
          <w:sz w:val="20"/>
          <w:szCs w:val="20"/>
        </w:rPr>
      </w:pPr>
    </w:p>
    <w:p w:rsidR="00225F86" w:rsidRDefault="00693905" w:rsidP="00046222">
      <w:pPr>
        <w:jc w:val="both"/>
        <w:rPr>
          <w:sz w:val="20"/>
          <w:szCs w:val="20"/>
        </w:rPr>
      </w:pPr>
      <w:r>
        <w:rPr>
          <w:sz w:val="20"/>
          <w:szCs w:val="20"/>
        </w:rPr>
        <w:t>b-</w:t>
      </w:r>
      <w:r w:rsidR="00225F86" w:rsidRPr="00225F86">
        <w:rPr>
          <w:sz w:val="20"/>
          <w:szCs w:val="20"/>
        </w:rPr>
        <w:t xml:space="preserve">Sumado a lo comentado sobre la tecnología, hay un segundo aspecto que no se puede soslayar y es que debido al gran progreso de las ciencias en general, y de la medicina en particular, alcanzar una buena capacitación demanda gran esfuerzo y tiempo; hecho que no colabora a que los médicos adquieran durante su formación </w:t>
      </w:r>
      <w:r w:rsidR="00225F86" w:rsidRPr="00225F86">
        <w:rPr>
          <w:sz w:val="20"/>
          <w:szCs w:val="20"/>
        </w:rPr>
        <w:lastRenderedPageBreak/>
        <w:t xml:space="preserve">conocimientos y habilidades sobre aspectos de carácter moral, interpretativos o prácticos los que luego, en su tarea diaria, aunque muy necesarios significan un déficit que cuesta llenar. </w:t>
      </w:r>
    </w:p>
    <w:p w:rsidR="00897234" w:rsidRDefault="00897234" w:rsidP="00046222">
      <w:pPr>
        <w:jc w:val="both"/>
        <w:rPr>
          <w:sz w:val="20"/>
          <w:szCs w:val="20"/>
        </w:rPr>
      </w:pPr>
    </w:p>
    <w:p w:rsidR="00225F86" w:rsidRDefault="00693905" w:rsidP="00225F86">
      <w:pPr>
        <w:jc w:val="both"/>
        <w:rPr>
          <w:sz w:val="20"/>
          <w:szCs w:val="20"/>
        </w:rPr>
      </w:pPr>
      <w:r>
        <w:rPr>
          <w:sz w:val="20"/>
          <w:szCs w:val="20"/>
        </w:rPr>
        <w:t>c-</w:t>
      </w:r>
      <w:r w:rsidR="00225F86" w:rsidRPr="00225F86">
        <w:rPr>
          <w:sz w:val="20"/>
          <w:szCs w:val="20"/>
        </w:rPr>
        <w:t xml:space="preserve">Una tercera situación que conspira en contra de la buena entrevista, en la consulta, es el factor económico. Médicos con retribución paupérrima se ven compelidos a realizar su oficio sin detenerse en mayores detalles. El asunto </w:t>
      </w:r>
      <w:r w:rsidR="00897234" w:rsidRPr="00225F86">
        <w:rPr>
          <w:sz w:val="20"/>
          <w:szCs w:val="20"/>
        </w:rPr>
        <w:t>es atender</w:t>
      </w:r>
      <w:r w:rsidR="00225F86" w:rsidRPr="00225F86">
        <w:rPr>
          <w:sz w:val="20"/>
          <w:szCs w:val="20"/>
        </w:rPr>
        <w:t xml:space="preserve"> un buen número de pacientes</w:t>
      </w:r>
      <w:r w:rsidR="00897234">
        <w:rPr>
          <w:sz w:val="20"/>
          <w:szCs w:val="20"/>
        </w:rPr>
        <w:t>,</w:t>
      </w:r>
      <w:r w:rsidR="00225F86" w:rsidRPr="00225F86">
        <w:rPr>
          <w:sz w:val="20"/>
          <w:szCs w:val="20"/>
        </w:rPr>
        <w:t xml:space="preserve"> para </w:t>
      </w:r>
      <w:r w:rsidR="00897234">
        <w:rPr>
          <w:sz w:val="20"/>
          <w:szCs w:val="20"/>
        </w:rPr>
        <w:t xml:space="preserve">lograr una remuneración que permita </w:t>
      </w:r>
      <w:r w:rsidR="00225F86" w:rsidRPr="00225F86">
        <w:rPr>
          <w:sz w:val="20"/>
          <w:szCs w:val="20"/>
        </w:rPr>
        <w:t xml:space="preserve">llevar una vida digna.  </w:t>
      </w:r>
    </w:p>
    <w:p w:rsidR="002F3B6F" w:rsidRDefault="00225F86" w:rsidP="00225F86">
      <w:pPr>
        <w:jc w:val="both"/>
        <w:rPr>
          <w:sz w:val="20"/>
          <w:szCs w:val="20"/>
        </w:rPr>
      </w:pPr>
      <w:r w:rsidRPr="00225F86">
        <w:rPr>
          <w:sz w:val="20"/>
          <w:szCs w:val="20"/>
        </w:rPr>
        <w:t xml:space="preserve">Creo que los factores referidos, en especial los dos últimos, son los que más distorsionaron y distorsionan la relación entre médicos y pacientes. Esta realidad es muy dañina por un lado termina agotando a los médicos, poniéndolos en camino del Burnout y por el otro genera, en los pacientes, una total </w:t>
      </w:r>
      <w:r w:rsidR="00C367DC">
        <w:rPr>
          <w:sz w:val="20"/>
          <w:szCs w:val="20"/>
        </w:rPr>
        <w:t>decepción pues no encuentran lo</w:t>
      </w:r>
      <w:bookmarkStart w:id="3" w:name="_GoBack"/>
      <w:bookmarkEnd w:id="3"/>
      <w:r w:rsidRPr="00225F86">
        <w:rPr>
          <w:sz w:val="20"/>
          <w:szCs w:val="20"/>
        </w:rPr>
        <w:t xml:space="preserve"> que ellos pretenden que es, ni más ni menos, que la consulta con su médico sea, no solo idónea sino también dotada de humanidad. </w:t>
      </w:r>
    </w:p>
    <w:p w:rsidR="005C3890" w:rsidRPr="00225F86" w:rsidRDefault="002F3B6F" w:rsidP="00882C21">
      <w:pPr>
        <w:jc w:val="both"/>
        <w:rPr>
          <w:sz w:val="18"/>
          <w:szCs w:val="18"/>
          <w:lang w:val="es-AR"/>
        </w:rPr>
        <w:sectPr w:rsidR="005C3890" w:rsidRPr="00225F86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3891" w:space="720"/>
            <w:col w:w="3891" w:space="0"/>
          </w:cols>
          <w:titlePg/>
        </w:sectPr>
      </w:pPr>
      <w:r w:rsidRPr="00225F86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13306BDE" wp14:editId="43A6D600">
                <wp:simplePos x="0" y="0"/>
                <wp:positionH relativeFrom="column">
                  <wp:posOffset>2619375</wp:posOffset>
                </wp:positionH>
                <wp:positionV relativeFrom="paragraph">
                  <wp:posOffset>697865</wp:posOffset>
                </wp:positionV>
                <wp:extent cx="457200" cy="4000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rgbClr val="509E2F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3B6F" w:rsidRDefault="00882C21" w:rsidP="002F3B6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06BDE" id="Rectángulo 1" o:spid="_x0000_s1026" style="position:absolute;left:0;text-align:left;margin-left:206.25pt;margin-top:54.95pt;width:36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" fillcolor="#509e2f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F3B6F" w:rsidRDefault="00882C21" w:rsidP="002F3B6F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 w:rsidR="00C367DC">
        <w:rPr>
          <w:sz w:val="20"/>
          <w:szCs w:val="20"/>
        </w:rPr>
        <w:t>Observar este</w:t>
      </w:r>
      <w:r w:rsidR="00225F86" w:rsidRPr="00225F86">
        <w:rPr>
          <w:sz w:val="20"/>
          <w:szCs w:val="20"/>
        </w:rPr>
        <w:t xml:space="preserve"> panorama y con la intención de paliar esta situación la doctora Charon R. en el </w:t>
      </w:r>
      <w:r w:rsidR="00225F86" w:rsidRPr="00225F86">
        <w:rPr>
          <w:sz w:val="20"/>
          <w:szCs w:val="20"/>
        </w:rPr>
        <w:lastRenderedPageBreak/>
        <w:t>año dos mil, más otros</w:t>
      </w:r>
      <w:r w:rsidR="00225F86">
        <w:rPr>
          <w:sz w:val="20"/>
          <w:szCs w:val="20"/>
        </w:rPr>
        <w:t xml:space="preserve"> a</w:t>
      </w:r>
      <w:r w:rsidR="00225F86" w:rsidRPr="00225F86">
        <w:rPr>
          <w:sz w:val="20"/>
          <w:szCs w:val="20"/>
        </w:rPr>
        <w:t>utores</w:t>
      </w:r>
      <w:r w:rsidR="00225F86" w:rsidRPr="00882C21">
        <w:rPr>
          <w:sz w:val="20"/>
          <w:szCs w:val="20"/>
          <w:vertAlign w:val="superscript"/>
        </w:rPr>
        <w:t>1;2;3:4;5</w:t>
      </w:r>
      <w:r w:rsidRPr="00882C21">
        <w:rPr>
          <w:sz w:val="20"/>
          <w:szCs w:val="20"/>
        </w:rPr>
        <w:t xml:space="preserve"> </w:t>
      </w:r>
      <w:r w:rsidR="00225F86" w:rsidRPr="00225F86">
        <w:rPr>
          <w:sz w:val="20"/>
          <w:szCs w:val="20"/>
        </w:rPr>
        <w:t xml:space="preserve">crearon/idearon lo que ha venido a llamarse Medicina Narrativa que a mi entender es, ni más ni menos, que volver a  </w:t>
      </w:r>
      <w:r w:rsidR="00882C21">
        <w:rPr>
          <w:sz w:val="20"/>
          <w:szCs w:val="20"/>
        </w:rPr>
        <w:t xml:space="preserve">lo que siempre fue la medicina: Encuentro sincero, afectuoso, </w:t>
      </w:r>
      <w:r w:rsidR="00225F86" w:rsidRPr="00225F86">
        <w:rPr>
          <w:sz w:val="20"/>
          <w:szCs w:val="20"/>
        </w:rPr>
        <w:t xml:space="preserve"> </w:t>
      </w:r>
      <w:r w:rsidR="00225F86" w:rsidRPr="00225F86">
        <w:rPr>
          <w:sz w:val="20"/>
          <w:szCs w:val="20"/>
        </w:rPr>
        <w:lastRenderedPageBreak/>
        <w:t xml:space="preserve">empático entre dos protagonistas en busca de un objetivo fundamental y que los abarca cual es: sanar y ser sanado; expresión que significa mucho más que la mera realización de un acto médico de rutina.  </w:t>
      </w:r>
    </w:p>
    <w:p w:rsidR="005C3890" w:rsidRPr="00C367DC" w:rsidRDefault="00693905">
      <w:pPr>
        <w:pStyle w:val="Ttulo1"/>
        <w:spacing w:before="340" w:after="170"/>
        <w:jc w:val="both"/>
        <w:rPr>
          <w:rFonts w:ascii="Arial" w:eastAsia="Arial" w:hAnsi="Arial" w:cs="Arial"/>
          <w:sz w:val="24"/>
          <w:szCs w:val="24"/>
          <w:lang w:val="en-US"/>
        </w:rPr>
        <w:sectPr w:rsidR="005C3890" w:rsidRPr="00C367DC">
          <w:type w:val="continuous"/>
          <w:pgSz w:w="11906" w:h="16838"/>
          <w:pgMar w:top="1417" w:right="1701" w:bottom="1417" w:left="1701" w:header="720" w:footer="720" w:gutter="0"/>
          <w:pgNumType w:start="1"/>
          <w:cols w:space="720"/>
          <w:titlePg/>
        </w:sectPr>
      </w:pPr>
      <w:r w:rsidRPr="00C367DC">
        <w:rPr>
          <w:rFonts w:ascii="Arial" w:eastAsia="Arial" w:hAnsi="Arial" w:cs="Arial"/>
          <w:sz w:val="24"/>
          <w:szCs w:val="24"/>
          <w:lang w:val="en-US"/>
        </w:rPr>
        <w:lastRenderedPageBreak/>
        <w:t>Bibliografía</w:t>
      </w:r>
    </w:p>
    <w:p w:rsidR="005C3890" w:rsidRPr="00C367DC" w:rsidRDefault="0069390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  <w:lang w:val="en-US"/>
        </w:rPr>
      </w:pPr>
      <w:r w:rsidRPr="00C367DC">
        <w:rPr>
          <w:color w:val="000000"/>
          <w:sz w:val="20"/>
          <w:szCs w:val="20"/>
          <w:lang w:val="en-US"/>
        </w:rPr>
        <w:lastRenderedPageBreak/>
        <w:t xml:space="preserve">1-Charon R. Narrative medicine: form, function, and ethics. Ann Intern Med. 2001;134(1):83–87. </w:t>
      </w:r>
    </w:p>
    <w:p w:rsidR="005C3890" w:rsidRPr="00D939D7" w:rsidRDefault="0069390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  <w:lang w:val="en-US"/>
        </w:rPr>
      </w:pPr>
      <w:r w:rsidRPr="00C367DC">
        <w:rPr>
          <w:color w:val="000000"/>
          <w:sz w:val="20"/>
          <w:szCs w:val="20"/>
          <w:lang w:val="en-US"/>
        </w:rPr>
        <w:t>2-C</w:t>
      </w:r>
      <w:r w:rsidRPr="00D939D7">
        <w:rPr>
          <w:color w:val="000000"/>
          <w:sz w:val="20"/>
          <w:szCs w:val="20"/>
          <w:lang w:val="en-US"/>
        </w:rPr>
        <w:t>haron R. Narrative ad Medicine. N Engl J Med 2004; 350:862-864</w:t>
      </w:r>
    </w:p>
    <w:p w:rsidR="005C3890" w:rsidRPr="00D939D7" w:rsidRDefault="0069390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  <w:lang w:val="en-US"/>
        </w:rPr>
      </w:pPr>
      <w:r w:rsidRPr="00D939D7">
        <w:rPr>
          <w:color w:val="000000"/>
          <w:sz w:val="20"/>
          <w:szCs w:val="20"/>
          <w:lang w:val="en-US"/>
        </w:rPr>
        <w:t xml:space="preserve">3-Greenhalgh T, Hurwitz B, editors. Narrative based medicine. Dialogue and discourse in clinical practice. London, UK: BMJ Books; 1998. </w:t>
      </w:r>
    </w:p>
    <w:p w:rsidR="005C3890" w:rsidRPr="00D939D7" w:rsidRDefault="0069390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  <w:lang w:val="en-US"/>
        </w:rPr>
      </w:pPr>
      <w:r w:rsidRPr="00D939D7">
        <w:rPr>
          <w:color w:val="000000"/>
          <w:sz w:val="20"/>
          <w:szCs w:val="20"/>
          <w:lang w:val="en-US"/>
        </w:rPr>
        <w:lastRenderedPageBreak/>
        <w:t>4-Greenhalgh T, Hurwitz B. Why study narrative? BMJ. 1999;318(7175):48-50</w:t>
      </w:r>
    </w:p>
    <w:p w:rsidR="005C3890" w:rsidRPr="00D939D7" w:rsidRDefault="0069390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0"/>
          <w:szCs w:val="20"/>
          <w:lang w:val="en-US"/>
        </w:rPr>
      </w:pPr>
      <w:r w:rsidRPr="00D939D7">
        <w:rPr>
          <w:color w:val="000000"/>
          <w:sz w:val="20"/>
          <w:szCs w:val="20"/>
          <w:lang w:val="en-US"/>
        </w:rPr>
        <w:t>5-Hawkins A, McEntyre M. Teaching Literature and Medicine. New York: The Modern Language Association of America; 2000.</w:t>
      </w:r>
    </w:p>
    <w:p w:rsidR="005C3890" w:rsidRDefault="00693905">
      <w:pPr>
        <w:jc w:val="both"/>
        <w:rPr>
          <w:b/>
        </w:rPr>
        <w:sectPr w:rsidR="005C3890">
          <w:type w:val="continuous"/>
          <w:pgSz w:w="11906" w:h="16838"/>
          <w:pgMar w:top="1417" w:right="1701" w:bottom="1417" w:left="1701" w:header="720" w:footer="720" w:gutter="0"/>
          <w:pgNumType w:start="1"/>
          <w:cols w:num="2" w:space="720" w:equalWidth="0">
            <w:col w:w="3891" w:space="720"/>
            <w:col w:w="3891" w:space="0"/>
          </w:cols>
          <w:titlePg/>
        </w:sectPr>
      </w:pPr>
      <w:r>
        <w:rPr>
          <w:rFonts w:ascii="Arial" w:eastAsia="Arial" w:hAnsi="Arial" w:cs="Arial"/>
          <w:noProof/>
          <w:color w:val="000000"/>
          <w:sz w:val="22"/>
          <w:szCs w:val="22"/>
          <w:u w:val="single"/>
          <w:lang w:val="en-US" w:eastAsia="en-US"/>
        </w:rPr>
        <w:drawing>
          <wp:inline distT="0" distB="0" distL="0" distR="0">
            <wp:extent cx="1053635" cy="493009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635" cy="493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890" w:rsidRDefault="00D939D7">
      <w:pPr>
        <w:jc w:val="both"/>
        <w:rPr>
          <w:b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5537291</wp:posOffset>
                </wp:positionH>
                <wp:positionV relativeFrom="paragraph">
                  <wp:posOffset>6248127</wp:posOffset>
                </wp:positionV>
                <wp:extent cx="457200" cy="4000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rgbClr val="509E2F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890" w:rsidRDefault="00882C2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436pt;margin-top:492pt;width:36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" fillcolor="#509e2f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C3890" w:rsidRDefault="00882C21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3890">
      <w:type w:val="continuous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E8" w:rsidRDefault="000328E8">
      <w:r>
        <w:separator/>
      </w:r>
    </w:p>
  </w:endnote>
  <w:endnote w:type="continuationSeparator" w:id="0">
    <w:p w:rsidR="000328E8" w:rsidRDefault="0003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90" w:rsidRDefault="005C3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90" w:rsidRDefault="005C389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5C3890">
      <w:tc>
        <w:tcPr>
          <w:tcW w:w="7654" w:type="dxa"/>
          <w:tcBorders>
            <w:top w:val="single" w:sz="4" w:space="0" w:color="000000"/>
          </w:tcBorders>
        </w:tcPr>
        <w:p w:rsidR="005C3890" w:rsidRDefault="006939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Revista Methodo: Investigación Aplicada a las Ciencias Biológicas. Universidad Católica de Córdoba. Jacinto Ríos 571 Bº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PRACTICA PROFESIONAL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2024;</w:t>
          </w:r>
          <w:r w:rsidR="00882C21">
            <w:rPr>
              <w:rFonts w:ascii="Arial" w:eastAsia="Arial" w:hAnsi="Arial" w:cs="Arial"/>
              <w:color w:val="000000"/>
              <w:sz w:val="16"/>
              <w:szCs w:val="16"/>
            </w:rPr>
            <w:t>9 (2):38-39.</w:t>
          </w:r>
        </w:p>
      </w:tc>
    </w:tr>
  </w:tbl>
  <w:p w:rsidR="005C3890" w:rsidRDefault="005C3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90" w:rsidRDefault="005C389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5C3890">
      <w:tc>
        <w:tcPr>
          <w:tcW w:w="7654" w:type="dxa"/>
          <w:tcBorders>
            <w:top w:val="single" w:sz="4" w:space="0" w:color="000000"/>
          </w:tcBorders>
        </w:tcPr>
        <w:p w:rsidR="005C3890" w:rsidRDefault="006939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Revista Methodo: Investigación Aplicada a las Ciencias Biológicas. Universidad Católica de Córdoba. Jacinto Ríos 571 Bº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PRACTICA PROFESIONAL </w:t>
          </w:r>
          <w:r w:rsidR="00882C21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Rev. </w:t>
          </w:r>
          <w:proofErr w:type="spellStart"/>
          <w:r w:rsidR="00882C21"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 w:rsidR="00882C21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2024;9(2):38-39.</w:t>
          </w:r>
        </w:p>
      </w:tc>
    </w:tr>
  </w:tbl>
  <w:p w:rsidR="005C3890" w:rsidRDefault="005C3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E8" w:rsidRDefault="000328E8">
      <w:r>
        <w:separator/>
      </w:r>
    </w:p>
  </w:footnote>
  <w:footnote w:type="continuationSeparator" w:id="0">
    <w:p w:rsidR="000328E8" w:rsidRDefault="0003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90" w:rsidRDefault="005C3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90" w:rsidRDefault="006939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Rougier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C.E. </w:t>
    </w:r>
    <w:r>
      <w:rPr>
        <w:rFonts w:ascii="Arial" w:eastAsia="Arial" w:hAnsi="Arial" w:cs="Arial"/>
        <w:i/>
        <w:color w:val="000000"/>
        <w:sz w:val="16"/>
        <w:szCs w:val="16"/>
      </w:rPr>
      <w:t xml:space="preserve">Relación médica/paciente: factores que la han </w:t>
    </w:r>
    <w:r w:rsidR="00D35A8C">
      <w:rPr>
        <w:rFonts w:ascii="Arial" w:eastAsia="Arial" w:hAnsi="Arial" w:cs="Arial"/>
        <w:i/>
        <w:color w:val="000000"/>
        <w:sz w:val="16"/>
        <w:szCs w:val="16"/>
      </w:rPr>
      <w:t>distorsionado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90" w:rsidRDefault="006939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4412213" cy="1276340"/>
          <wp:effectExtent l="0" t="0" r="0" b="0"/>
          <wp:docPr id="10" name="image3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3890" w:rsidRDefault="005C3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0"/>
    <w:rsid w:val="000328E8"/>
    <w:rsid w:val="00032DC1"/>
    <w:rsid w:val="00046222"/>
    <w:rsid w:val="00095E38"/>
    <w:rsid w:val="001815C1"/>
    <w:rsid w:val="002216AE"/>
    <w:rsid w:val="00225F86"/>
    <w:rsid w:val="002F3B6F"/>
    <w:rsid w:val="0034507E"/>
    <w:rsid w:val="003D0373"/>
    <w:rsid w:val="003F217F"/>
    <w:rsid w:val="004827E4"/>
    <w:rsid w:val="005A54BA"/>
    <w:rsid w:val="005C3890"/>
    <w:rsid w:val="005E0FDA"/>
    <w:rsid w:val="00693905"/>
    <w:rsid w:val="0071739F"/>
    <w:rsid w:val="0080008D"/>
    <w:rsid w:val="00827524"/>
    <w:rsid w:val="00882C21"/>
    <w:rsid w:val="00897234"/>
    <w:rsid w:val="00964A22"/>
    <w:rsid w:val="009802BE"/>
    <w:rsid w:val="009F7211"/>
    <w:rsid w:val="00A169FF"/>
    <w:rsid w:val="00A3206B"/>
    <w:rsid w:val="00A5074A"/>
    <w:rsid w:val="00A81A44"/>
    <w:rsid w:val="00AE726A"/>
    <w:rsid w:val="00B96B6A"/>
    <w:rsid w:val="00C367DC"/>
    <w:rsid w:val="00D3333F"/>
    <w:rsid w:val="00D35A8C"/>
    <w:rsid w:val="00D718CF"/>
    <w:rsid w:val="00D939D7"/>
    <w:rsid w:val="00E11813"/>
    <w:rsid w:val="00E859A0"/>
    <w:rsid w:val="00EC10A7"/>
    <w:rsid w:val="00F06D31"/>
    <w:rsid w:val="00F26E7D"/>
    <w:rsid w:val="00F301E5"/>
    <w:rsid w:val="00F85F61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8D99"/>
  <w15:docId w15:val="{35A99261-1D3D-46EF-9A8F-48C460FC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Sección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customStyle="1" w:styleId="Ttulo1Car">
    <w:name w:val="Título 1 Car"/>
    <w:aliases w:val="Sección Car"/>
    <w:link w:val="Ttulo1"/>
    <w:uiPriority w:val="9"/>
    <w:rsid w:val="00F369C5"/>
    <w:rPr>
      <w:rFonts w:ascii="Cambria" w:eastAsia="Cambria" w:hAnsi="Cambria" w:cs="Cambria"/>
      <w:b/>
      <w:sz w:val="32"/>
      <w:szCs w:val="32"/>
    </w:rPr>
  </w:style>
  <w:style w:type="paragraph" w:customStyle="1" w:styleId="Biblio">
    <w:name w:val="Biblio"/>
    <w:basedOn w:val="Prrafodelista"/>
    <w:link w:val="BiblioCar"/>
    <w:qFormat/>
    <w:rsid w:val="00F369C5"/>
    <w:pPr>
      <w:suppressAutoHyphens/>
      <w:autoSpaceDN w:val="0"/>
      <w:spacing w:after="120"/>
      <w:ind w:left="0"/>
      <w:contextualSpacing w:val="0"/>
      <w:jc w:val="both"/>
      <w:textAlignment w:val="baseline"/>
    </w:pPr>
    <w:rPr>
      <w:bCs/>
      <w:sz w:val="20"/>
      <w:lang w:eastAsia="es-ES"/>
    </w:rPr>
  </w:style>
  <w:style w:type="character" w:customStyle="1" w:styleId="BiblioCar">
    <w:name w:val="Biblio Car"/>
    <w:basedOn w:val="Fuentedeprrafopredeter"/>
    <w:link w:val="Biblio"/>
    <w:rsid w:val="00F369C5"/>
    <w:rPr>
      <w:bCs/>
      <w:sz w:val="20"/>
      <w:lang w:eastAsia="es-ES"/>
    </w:rPr>
  </w:style>
  <w:style w:type="paragraph" w:styleId="Prrafodelista">
    <w:name w:val="List Paragraph"/>
    <w:basedOn w:val="Normal"/>
    <w:uiPriority w:val="34"/>
    <w:qFormat/>
    <w:rsid w:val="00F369C5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Hipervnculo">
    <w:name w:val="Hyperlink"/>
    <w:basedOn w:val="Fuentedeprrafopredeter"/>
    <w:uiPriority w:val="99"/>
    <w:unhideWhenUsed/>
    <w:rsid w:val="00882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1-6584-0137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9YuL+YLDEDPYcM1V9OP8zasdA==">CgMxLjAyCWguMzBqMHpsbDIIaC5namRneHMyCWguMWZvYjl0ZTgAciExaDFMTHRLTC1TRVlLWWNrTU5IcE1xQncxLU9jakJYWHI=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10C2D5-22C4-421D-9141-5F2F0B64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UCCOffice2019Standard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Bruzzesi</dc:creator>
  <cp:lastModifiedBy>Pedro Bruzzesi</cp:lastModifiedBy>
  <cp:revision>2</cp:revision>
  <cp:lastPrinted>2024-03-22T12:15:00Z</cp:lastPrinted>
  <dcterms:created xsi:type="dcterms:W3CDTF">2024-03-22T12:31:00Z</dcterms:created>
  <dcterms:modified xsi:type="dcterms:W3CDTF">2024-03-22T12:31:00Z</dcterms:modified>
</cp:coreProperties>
</file>