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5B905" w14:textId="40D390DA" w:rsidR="00F3616E" w:rsidRDefault="007D2A25">
      <w:pPr>
        <w:pStyle w:val="Ttulo1"/>
        <w:spacing w:before="0" w:after="0"/>
        <w:ind w:hanging="142"/>
        <w:jc w:val="center"/>
      </w:pPr>
      <w:r>
        <w:rPr>
          <w:b w:val="0"/>
          <w:sz w:val="20"/>
          <w:szCs w:val="20"/>
        </w:rPr>
        <w:t xml:space="preserve">                                            </w:t>
      </w:r>
      <w:r w:rsidR="00E312BC">
        <w:rPr>
          <w:b w:val="0"/>
          <w:sz w:val="20"/>
          <w:szCs w:val="20"/>
        </w:rPr>
        <w:t xml:space="preserve">                      </w:t>
      </w:r>
      <w:r w:rsidR="006E068D">
        <w:rPr>
          <w:b w:val="0"/>
          <w:sz w:val="20"/>
          <w:szCs w:val="20"/>
        </w:rPr>
        <w:t xml:space="preserve">    </w:t>
      </w:r>
      <w:r w:rsidR="00F42132">
        <w:rPr>
          <w:b w:val="0"/>
          <w:sz w:val="20"/>
          <w:szCs w:val="20"/>
        </w:rPr>
        <w:t xml:space="preserve"> </w:t>
      </w:r>
      <w:r>
        <w:rPr>
          <w:b w:val="0"/>
          <w:sz w:val="20"/>
          <w:szCs w:val="20"/>
        </w:rPr>
        <w:t>ARTICULO ORIGINAL Rev.</w:t>
      </w:r>
      <w:r>
        <w:rPr>
          <w:b w:val="0"/>
          <w:sz w:val="18"/>
          <w:szCs w:val="18"/>
        </w:rPr>
        <w:t xml:space="preserve"> </w:t>
      </w:r>
      <w:proofErr w:type="spellStart"/>
      <w:r>
        <w:rPr>
          <w:b w:val="0"/>
          <w:sz w:val="20"/>
          <w:szCs w:val="20"/>
        </w:rPr>
        <w:t>Methodo</w:t>
      </w:r>
      <w:proofErr w:type="spellEnd"/>
      <w:r w:rsidR="005212CD">
        <w:rPr>
          <w:b w:val="0"/>
          <w:sz w:val="18"/>
          <w:szCs w:val="18"/>
        </w:rPr>
        <w:t xml:space="preserve"> 202</w:t>
      </w:r>
      <w:r w:rsidR="00ED1B31">
        <w:rPr>
          <w:b w:val="0"/>
          <w:sz w:val="18"/>
          <w:szCs w:val="18"/>
        </w:rPr>
        <w:t>4</w:t>
      </w:r>
      <w:r w:rsidR="005212CD">
        <w:rPr>
          <w:b w:val="0"/>
          <w:sz w:val="18"/>
          <w:szCs w:val="18"/>
        </w:rPr>
        <w:t>;</w:t>
      </w:r>
      <w:r w:rsidR="00ED1B31">
        <w:rPr>
          <w:b w:val="0"/>
          <w:sz w:val="18"/>
          <w:szCs w:val="18"/>
        </w:rPr>
        <w:t>9</w:t>
      </w:r>
      <w:r w:rsidR="005212CD">
        <w:rPr>
          <w:b w:val="0"/>
          <w:sz w:val="18"/>
          <w:szCs w:val="18"/>
        </w:rPr>
        <w:t>(</w:t>
      </w:r>
      <w:r w:rsidR="006412F7">
        <w:rPr>
          <w:b w:val="0"/>
          <w:sz w:val="18"/>
          <w:szCs w:val="18"/>
        </w:rPr>
        <w:t>2</w:t>
      </w:r>
      <w:r>
        <w:rPr>
          <w:b w:val="0"/>
          <w:sz w:val="18"/>
          <w:szCs w:val="18"/>
        </w:rPr>
        <w:t>):</w:t>
      </w:r>
      <w:r w:rsidR="003F7F94">
        <w:rPr>
          <w:b w:val="0"/>
          <w:sz w:val="18"/>
          <w:szCs w:val="18"/>
        </w:rPr>
        <w:t>08-14</w:t>
      </w:r>
    </w:p>
    <w:p w14:paraId="51C7CC55" w14:textId="77777777" w:rsidR="00F3616E" w:rsidRPr="00C90A61" w:rsidRDefault="007D2A25">
      <w:pPr>
        <w:pStyle w:val="Ttulo1"/>
        <w:spacing w:before="0" w:after="0"/>
        <w:ind w:hanging="142"/>
        <w:jc w:val="center"/>
        <w:rPr>
          <w:rFonts w:ascii="Verdana" w:eastAsia="Verdana" w:hAnsi="Verdana" w:cs="Verdana"/>
          <w:b w:val="0"/>
          <w:sz w:val="16"/>
          <w:szCs w:val="16"/>
          <w:highlight w:val="white"/>
        </w:rPr>
      </w:pPr>
      <w:r w:rsidRPr="00A52436">
        <w:rPr>
          <w:rFonts w:ascii="Verdana" w:eastAsia="Verdana" w:hAnsi="Verdana" w:cs="Verdana"/>
          <w:b w:val="0"/>
          <w:sz w:val="17"/>
          <w:szCs w:val="17"/>
        </w:rPr>
        <w:t xml:space="preserve">                                                                                   </w:t>
      </w:r>
      <w:hyperlink r:id="rId9" w:history="1">
        <w:r w:rsidR="00ED1B31" w:rsidRPr="00C90A61">
          <w:rPr>
            <w:rStyle w:val="Hipervnculo"/>
            <w:rFonts w:ascii="Verdana" w:eastAsia="Verdana" w:hAnsi="Verdana" w:cs="Verdana"/>
            <w:b w:val="0"/>
            <w:color w:val="auto"/>
            <w:sz w:val="17"/>
            <w:szCs w:val="17"/>
          </w:rPr>
          <w:t>https://doi.org/10.22529/me.2024.9(</w:t>
        </w:r>
        <w:r w:rsidR="006412F7" w:rsidRPr="00C90A61">
          <w:rPr>
            <w:rStyle w:val="Hipervnculo"/>
            <w:rFonts w:ascii="Verdana" w:eastAsia="Verdana" w:hAnsi="Verdana" w:cs="Verdana"/>
            <w:b w:val="0"/>
            <w:color w:val="auto"/>
            <w:sz w:val="17"/>
            <w:szCs w:val="17"/>
          </w:rPr>
          <w:t>2</w:t>
        </w:r>
        <w:r w:rsidR="00ED1B31" w:rsidRPr="00C90A61">
          <w:rPr>
            <w:rStyle w:val="Hipervnculo"/>
            <w:rFonts w:ascii="Verdana" w:eastAsia="Verdana" w:hAnsi="Verdana" w:cs="Verdana"/>
            <w:b w:val="0"/>
            <w:color w:val="auto"/>
            <w:sz w:val="17"/>
            <w:szCs w:val="17"/>
          </w:rPr>
          <w:t>)</w:t>
        </w:r>
        <w:r w:rsidR="00C90A61" w:rsidRPr="00C90A61">
          <w:rPr>
            <w:rStyle w:val="Hipervnculo"/>
            <w:rFonts w:ascii="Verdana" w:eastAsia="Verdana" w:hAnsi="Verdana" w:cs="Verdana"/>
            <w:b w:val="0"/>
            <w:color w:val="auto"/>
            <w:sz w:val="17"/>
            <w:szCs w:val="17"/>
          </w:rPr>
          <w:t>03</w:t>
        </w:r>
      </w:hyperlink>
    </w:p>
    <w:tbl>
      <w:tblPr>
        <w:tblStyle w:val="ac"/>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F3616E" w14:paraId="56C1CEBF" w14:textId="77777777">
        <w:trPr>
          <w:trHeight w:val="132"/>
        </w:trPr>
        <w:tc>
          <w:tcPr>
            <w:tcW w:w="5396" w:type="dxa"/>
            <w:vAlign w:val="center"/>
          </w:tcPr>
          <w:p w14:paraId="78F6B8B6" w14:textId="77777777" w:rsidR="00F3616E" w:rsidRDefault="00DB67DA">
            <w:pPr>
              <w:spacing w:line="360" w:lineRule="auto"/>
              <w:rPr>
                <w:rFonts w:ascii="Arial" w:eastAsia="Arial" w:hAnsi="Arial" w:cs="Arial"/>
                <w:sz w:val="16"/>
                <w:szCs w:val="16"/>
              </w:rPr>
            </w:pPr>
            <w:r>
              <w:rPr>
                <w:rFonts w:ascii="Arial" w:eastAsia="Arial" w:hAnsi="Arial" w:cs="Arial"/>
                <w:sz w:val="16"/>
                <w:szCs w:val="16"/>
              </w:rPr>
              <w:t xml:space="preserve"> </w:t>
            </w:r>
            <w:r w:rsidR="00900DEE">
              <w:rPr>
                <w:rFonts w:ascii="Arial" w:eastAsia="Arial" w:hAnsi="Arial" w:cs="Arial"/>
                <w:sz w:val="16"/>
                <w:szCs w:val="16"/>
              </w:rPr>
              <w:t xml:space="preserve"> </w:t>
            </w:r>
            <w:r w:rsidR="00333C26">
              <w:rPr>
                <w:rFonts w:ascii="Arial" w:eastAsia="Arial" w:hAnsi="Arial" w:cs="Arial"/>
                <w:sz w:val="16"/>
                <w:szCs w:val="16"/>
              </w:rPr>
              <w:t xml:space="preserve">   </w:t>
            </w:r>
            <w:r w:rsidR="00841EAA">
              <w:rPr>
                <w:rFonts w:ascii="Arial" w:eastAsia="Arial" w:hAnsi="Arial" w:cs="Arial"/>
                <w:sz w:val="16"/>
                <w:szCs w:val="16"/>
              </w:rPr>
              <w:t xml:space="preserve">Recibido </w:t>
            </w:r>
            <w:r w:rsidR="00920650">
              <w:rPr>
                <w:rFonts w:ascii="Arial" w:eastAsia="Arial" w:hAnsi="Arial" w:cs="Arial"/>
                <w:sz w:val="16"/>
                <w:szCs w:val="16"/>
              </w:rPr>
              <w:t>27 Dic</w:t>
            </w:r>
            <w:r>
              <w:rPr>
                <w:rFonts w:ascii="Arial" w:eastAsia="Arial" w:hAnsi="Arial" w:cs="Arial"/>
                <w:sz w:val="16"/>
                <w:szCs w:val="16"/>
              </w:rPr>
              <w:t xml:space="preserve">. </w:t>
            </w:r>
            <w:r w:rsidR="00BE7133">
              <w:rPr>
                <w:rFonts w:ascii="Arial" w:eastAsia="Arial" w:hAnsi="Arial" w:cs="Arial"/>
                <w:sz w:val="16"/>
                <w:szCs w:val="16"/>
              </w:rPr>
              <w:t>202</w:t>
            </w:r>
            <w:r w:rsidR="00ED1B31">
              <w:rPr>
                <w:rFonts w:ascii="Arial" w:eastAsia="Arial" w:hAnsi="Arial" w:cs="Arial"/>
                <w:sz w:val="16"/>
                <w:szCs w:val="16"/>
              </w:rPr>
              <w:t>3</w:t>
            </w:r>
            <w:r w:rsidR="007D2A25">
              <w:rPr>
                <w:rFonts w:ascii="Arial" w:eastAsia="Arial" w:hAnsi="Arial" w:cs="Arial"/>
                <w:sz w:val="16"/>
                <w:szCs w:val="16"/>
              </w:rPr>
              <w:t xml:space="preserve"> | Ace</w:t>
            </w:r>
            <w:r w:rsidR="005212CD">
              <w:rPr>
                <w:rFonts w:ascii="Arial" w:eastAsia="Arial" w:hAnsi="Arial" w:cs="Arial"/>
                <w:sz w:val="16"/>
                <w:szCs w:val="16"/>
              </w:rPr>
              <w:t>ptado</w:t>
            </w:r>
            <w:r w:rsidR="00920650">
              <w:rPr>
                <w:rFonts w:ascii="Arial" w:eastAsia="Arial" w:hAnsi="Arial" w:cs="Arial"/>
                <w:sz w:val="16"/>
                <w:szCs w:val="16"/>
              </w:rPr>
              <w:t xml:space="preserve"> 24 Nov.</w:t>
            </w:r>
            <w:r>
              <w:rPr>
                <w:rFonts w:ascii="Arial" w:eastAsia="Arial" w:hAnsi="Arial" w:cs="Arial"/>
                <w:sz w:val="16"/>
                <w:szCs w:val="16"/>
              </w:rPr>
              <w:t xml:space="preserve"> 2023</w:t>
            </w:r>
            <w:r w:rsidR="005212CD">
              <w:rPr>
                <w:rFonts w:ascii="Arial" w:eastAsia="Arial" w:hAnsi="Arial" w:cs="Arial"/>
                <w:sz w:val="16"/>
                <w:szCs w:val="16"/>
              </w:rPr>
              <w:t xml:space="preserve"> |Publicado </w:t>
            </w:r>
            <w:r w:rsidR="006412F7">
              <w:rPr>
                <w:rFonts w:ascii="Arial" w:eastAsia="Arial" w:hAnsi="Arial" w:cs="Arial"/>
                <w:sz w:val="16"/>
                <w:szCs w:val="16"/>
              </w:rPr>
              <w:t>0</w:t>
            </w:r>
            <w:r w:rsidR="00920650">
              <w:rPr>
                <w:rFonts w:ascii="Arial" w:eastAsia="Arial" w:hAnsi="Arial" w:cs="Arial"/>
                <w:sz w:val="16"/>
                <w:szCs w:val="16"/>
              </w:rPr>
              <w:t>5</w:t>
            </w:r>
            <w:r w:rsidR="006412F7">
              <w:rPr>
                <w:rFonts w:ascii="Arial" w:eastAsia="Arial" w:hAnsi="Arial" w:cs="Arial"/>
                <w:sz w:val="16"/>
                <w:szCs w:val="16"/>
              </w:rPr>
              <w:t xml:space="preserve"> Abr</w:t>
            </w:r>
            <w:r w:rsidR="005212CD">
              <w:rPr>
                <w:rFonts w:ascii="Arial" w:eastAsia="Arial" w:hAnsi="Arial" w:cs="Arial"/>
                <w:sz w:val="16"/>
                <w:szCs w:val="16"/>
              </w:rPr>
              <w:t xml:space="preserve"> 202</w:t>
            </w:r>
            <w:r w:rsidR="00ED1B31">
              <w:rPr>
                <w:rFonts w:ascii="Arial" w:eastAsia="Arial" w:hAnsi="Arial" w:cs="Arial"/>
                <w:sz w:val="16"/>
                <w:szCs w:val="16"/>
              </w:rPr>
              <w:t>4</w:t>
            </w:r>
          </w:p>
        </w:tc>
        <w:tc>
          <w:tcPr>
            <w:tcW w:w="3157" w:type="dxa"/>
            <w:shd w:val="clear" w:color="auto" w:fill="509D2F"/>
            <w:vAlign w:val="center"/>
          </w:tcPr>
          <w:p w14:paraId="2C19042C" w14:textId="77777777" w:rsidR="00F3616E" w:rsidRDefault="00F3616E">
            <w:pPr>
              <w:spacing w:line="360" w:lineRule="auto"/>
              <w:jc w:val="center"/>
              <w:rPr>
                <w:rFonts w:ascii="Arial" w:eastAsia="Arial" w:hAnsi="Arial" w:cs="Arial"/>
                <w:color w:val="509D2F"/>
                <w:sz w:val="16"/>
                <w:szCs w:val="16"/>
              </w:rPr>
            </w:pPr>
          </w:p>
        </w:tc>
      </w:tr>
    </w:tbl>
    <w:p w14:paraId="64254928" w14:textId="77777777" w:rsidR="00F3616E" w:rsidRDefault="00F3616E">
      <w:pPr>
        <w:sectPr w:rsidR="00F3616E">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14:paraId="05746039" w14:textId="77777777" w:rsidR="00ED3756" w:rsidRPr="00B527F9" w:rsidRDefault="00ED3756" w:rsidP="005D5977">
      <w:pPr>
        <w:pStyle w:val="Autores"/>
        <w:rPr>
          <w:rFonts w:ascii="Arial" w:eastAsia="Arial" w:hAnsi="Arial" w:cs="Arial"/>
          <w:b/>
          <w:color w:val="auto"/>
          <w:sz w:val="28"/>
          <w:szCs w:val="28"/>
          <w:shd w:val="clear" w:color="auto" w:fill="auto"/>
          <w:lang w:val="en-US"/>
        </w:rPr>
      </w:pPr>
      <w:r w:rsidRPr="00B527F9">
        <w:rPr>
          <w:rFonts w:ascii="Arial" w:eastAsia="Arial" w:hAnsi="Arial" w:cs="Arial"/>
          <w:b/>
          <w:color w:val="auto"/>
          <w:sz w:val="28"/>
          <w:szCs w:val="28"/>
          <w:shd w:val="clear" w:color="auto" w:fill="auto"/>
          <w:lang w:val="en-US"/>
        </w:rPr>
        <w:lastRenderedPageBreak/>
        <w:t>Achieving target blood pressure and LDL Cholesterol does not prevent the progression of atherosclerotic plaque burden in a high-risk population</w:t>
      </w:r>
      <w:r w:rsidR="002045F5">
        <w:rPr>
          <w:rFonts w:ascii="Arial" w:eastAsia="Arial" w:hAnsi="Arial" w:cs="Arial"/>
          <w:b/>
          <w:color w:val="auto"/>
          <w:sz w:val="28"/>
          <w:szCs w:val="28"/>
          <w:shd w:val="clear" w:color="auto" w:fill="auto"/>
          <w:lang w:val="en-US"/>
        </w:rPr>
        <w:t xml:space="preserve"> </w:t>
      </w:r>
    </w:p>
    <w:p w14:paraId="5C9C1245" w14:textId="77777777" w:rsidR="00ED3756" w:rsidRPr="00B527F9" w:rsidRDefault="00ED3756" w:rsidP="005D5977">
      <w:pPr>
        <w:pStyle w:val="Autores"/>
        <w:rPr>
          <w:rFonts w:ascii="Arial" w:eastAsia="Arial" w:hAnsi="Arial" w:cs="Arial"/>
          <w:b/>
          <w:color w:val="auto"/>
          <w:sz w:val="28"/>
          <w:szCs w:val="28"/>
          <w:shd w:val="clear" w:color="auto" w:fill="auto"/>
          <w:lang w:val="en-US"/>
        </w:rPr>
      </w:pPr>
    </w:p>
    <w:p w14:paraId="6A75B74E" w14:textId="77777777" w:rsidR="00941F5F" w:rsidRDefault="00941F5F" w:rsidP="005D5977">
      <w:pPr>
        <w:pStyle w:val="Autores"/>
        <w:rPr>
          <w:rFonts w:ascii="Arial" w:eastAsia="Arial" w:hAnsi="Arial" w:cs="Arial"/>
          <w:b/>
          <w:color w:val="auto"/>
          <w:sz w:val="28"/>
          <w:szCs w:val="28"/>
          <w:shd w:val="clear" w:color="auto" w:fill="auto"/>
        </w:rPr>
      </w:pPr>
      <w:r w:rsidRPr="00941F5F">
        <w:rPr>
          <w:rFonts w:ascii="Arial" w:eastAsia="Arial" w:hAnsi="Arial" w:cs="Arial"/>
          <w:b/>
          <w:color w:val="auto"/>
          <w:sz w:val="28"/>
          <w:szCs w:val="28"/>
          <w:shd w:val="clear" w:color="auto" w:fill="auto"/>
        </w:rPr>
        <w:t>Alcanzar la presión arterial y el colesterol LDL objetivo no previene la progresión de la carga de placa aterosclerótica en una población de alto riesgo</w:t>
      </w:r>
    </w:p>
    <w:p w14:paraId="41062E29" w14:textId="77777777" w:rsidR="008129BA" w:rsidRDefault="008129BA" w:rsidP="005D5977">
      <w:pPr>
        <w:pStyle w:val="Autores"/>
        <w:rPr>
          <w:rFonts w:ascii="Arial" w:eastAsia="Arial" w:hAnsi="Arial" w:cs="Arial"/>
          <w:b/>
          <w:color w:val="auto"/>
          <w:sz w:val="28"/>
          <w:szCs w:val="28"/>
          <w:shd w:val="clear" w:color="auto" w:fill="auto"/>
        </w:rPr>
      </w:pPr>
    </w:p>
    <w:p w14:paraId="2525BA48" w14:textId="77777777" w:rsidR="00F3616E" w:rsidRPr="00F04C59" w:rsidRDefault="00B6674E" w:rsidP="00F04C59">
      <w:pPr>
        <w:pStyle w:val="Autores"/>
      </w:pPr>
      <w:r w:rsidRPr="00F04C59">
        <w:t xml:space="preserve">Hernán </w:t>
      </w:r>
      <w:r w:rsidR="00ED3756" w:rsidRPr="00F04C59">
        <w:t xml:space="preserve">Alejandro </w:t>
      </w:r>
      <w:r w:rsidRPr="00F04C59">
        <w:t>Pérez</w:t>
      </w:r>
      <w:r w:rsidR="00FB1EDA" w:rsidRPr="00F04C59">
        <w:rPr>
          <w:vertAlign w:val="superscript"/>
        </w:rPr>
        <w:t>1</w:t>
      </w:r>
      <w:r w:rsidR="0018325A" w:rsidRPr="00F04C59">
        <w:rPr>
          <w:noProof/>
          <w:lang w:val="en-US" w:eastAsia="en-US"/>
        </w:rPr>
        <w:drawing>
          <wp:inline distT="0" distB="0" distL="0" distR="0" wp14:anchorId="29B657C6" wp14:editId="4F3C0358">
            <wp:extent cx="216820" cy="174660"/>
            <wp:effectExtent l="0" t="0" r="0" b="0"/>
            <wp:docPr id="1071" name="image3.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71" name="image3.png">
                      <a:hlinkClick r:id="rId14"/>
                    </pic:cNvPr>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0018325A" w:rsidRPr="00F04C59">
        <w:t xml:space="preserve"> </w:t>
      </w:r>
      <w:r w:rsidR="00CC54A9" w:rsidRPr="00F04C59">
        <w:t xml:space="preserve">, </w:t>
      </w:r>
      <w:r w:rsidR="00240604" w:rsidRPr="00FC40D3">
        <w:t>Enrique A. Majul</w:t>
      </w:r>
      <w:r w:rsidR="00A13118">
        <w:rPr>
          <w:vertAlign w:val="superscript"/>
        </w:rPr>
        <w:t>2</w:t>
      </w:r>
      <w:r w:rsidR="00FB1EDA" w:rsidRPr="00FC40D3">
        <w:t xml:space="preserve">, </w:t>
      </w:r>
      <w:r w:rsidR="00B22A07" w:rsidRPr="00FC40D3">
        <w:t>Ana L</w:t>
      </w:r>
      <w:r w:rsidR="00B22A07">
        <w:t>aura</w:t>
      </w:r>
      <w:r w:rsidR="00B22A07" w:rsidRPr="00FC40D3">
        <w:t xml:space="preserve"> </w:t>
      </w:r>
      <w:r w:rsidR="00FB03E2" w:rsidRPr="00FC40D3">
        <w:t>Oliszynsky</w:t>
      </w:r>
      <w:r w:rsidR="00635CC0">
        <w:rPr>
          <w:vertAlign w:val="superscript"/>
        </w:rPr>
        <w:t>3</w:t>
      </w:r>
      <w:r w:rsidR="00FB1EDA" w:rsidRPr="00FC40D3">
        <w:t xml:space="preserve">, </w:t>
      </w:r>
      <w:r w:rsidR="00FB03E2" w:rsidRPr="00FC40D3">
        <w:t>Delia</w:t>
      </w:r>
      <w:r w:rsidR="00FD45F0" w:rsidRPr="00FC40D3">
        <w:t xml:space="preserve"> Agustin</w:t>
      </w:r>
      <w:r w:rsidR="00635CC0" w:rsidRPr="00206361">
        <w:rPr>
          <w:vertAlign w:val="superscript"/>
        </w:rPr>
        <w:t>3</w:t>
      </w:r>
      <w:r w:rsidR="00FB1EDA" w:rsidRPr="00FC40D3">
        <w:t xml:space="preserve">, </w:t>
      </w:r>
      <w:r w:rsidR="00FD45F0" w:rsidRPr="00FC40D3">
        <w:t xml:space="preserve">Delfina </w:t>
      </w:r>
      <w:r w:rsidR="00FB03E2" w:rsidRPr="00FC40D3">
        <w:t>Bochetto</w:t>
      </w:r>
      <w:r w:rsidR="00635CC0">
        <w:rPr>
          <w:vertAlign w:val="superscript"/>
        </w:rPr>
        <w:t>3</w:t>
      </w:r>
      <w:r w:rsidR="00FB1EDA" w:rsidRPr="00FC40D3">
        <w:t xml:space="preserve">, </w:t>
      </w:r>
      <w:r w:rsidR="00FD45F0" w:rsidRPr="00FC40D3">
        <w:t xml:space="preserve">Candela </w:t>
      </w:r>
      <w:r w:rsidR="00FB03E2" w:rsidRPr="00FC40D3">
        <w:t>Albrech</w:t>
      </w:r>
      <w:r w:rsidR="00635CC0">
        <w:rPr>
          <w:vertAlign w:val="superscript"/>
        </w:rPr>
        <w:t>3</w:t>
      </w:r>
      <w:r w:rsidR="00FB03E2" w:rsidRPr="00FC40D3">
        <w:t xml:space="preserve">, </w:t>
      </w:r>
      <w:r w:rsidR="00FD45F0" w:rsidRPr="00FC40D3">
        <w:t xml:space="preserve">Iara Milena </w:t>
      </w:r>
      <w:r w:rsidR="00FC40D3" w:rsidRPr="00FC40D3">
        <w:t>Báez</w:t>
      </w:r>
      <w:r w:rsidR="00635CC0" w:rsidRPr="00635CC0">
        <w:rPr>
          <w:vertAlign w:val="superscript"/>
        </w:rPr>
        <w:t>3</w:t>
      </w:r>
      <w:r w:rsidR="00FB03E2" w:rsidRPr="00FC40D3">
        <w:t xml:space="preserve">, </w:t>
      </w:r>
      <w:r w:rsidR="00FD45F0" w:rsidRPr="00FC40D3">
        <w:t xml:space="preserve">Ignacio </w:t>
      </w:r>
      <w:r w:rsidR="00FB03E2" w:rsidRPr="00FC40D3">
        <w:t>Foa Torres</w:t>
      </w:r>
      <w:r w:rsidR="00635CC0" w:rsidRPr="00635CC0">
        <w:rPr>
          <w:vertAlign w:val="superscript"/>
        </w:rPr>
        <w:t>3</w:t>
      </w:r>
      <w:r w:rsidR="00FB03E2" w:rsidRPr="00FC40D3">
        <w:t xml:space="preserve">, </w:t>
      </w:r>
      <w:r w:rsidR="00C35823" w:rsidRPr="00FC40D3">
        <w:t xml:space="preserve">Luz </w:t>
      </w:r>
      <w:r w:rsidR="00FC40D3" w:rsidRPr="00FC40D3">
        <w:t>María</w:t>
      </w:r>
      <w:r w:rsidR="00C35823" w:rsidRPr="00FC40D3">
        <w:t xml:space="preserve"> </w:t>
      </w:r>
      <w:r w:rsidR="00712196" w:rsidRPr="00FC40D3">
        <w:t>González</w:t>
      </w:r>
      <w:r w:rsidR="00FB03E2" w:rsidRPr="00FC40D3">
        <w:t xml:space="preserve"> Rinaldi</w:t>
      </w:r>
      <w:r w:rsidR="00635CC0" w:rsidRPr="00635CC0">
        <w:rPr>
          <w:vertAlign w:val="superscript"/>
        </w:rPr>
        <w:t>3</w:t>
      </w:r>
      <w:r w:rsidR="00FB03E2" w:rsidRPr="00FC40D3">
        <w:t xml:space="preserve">, </w:t>
      </w:r>
      <w:r w:rsidR="00C35823" w:rsidRPr="00FC40D3">
        <w:t xml:space="preserve">Sofía </w:t>
      </w:r>
      <w:r w:rsidR="00FB03E2" w:rsidRPr="00FC40D3">
        <w:t>Lambrechts</w:t>
      </w:r>
      <w:r w:rsidR="00635CC0" w:rsidRPr="00206361">
        <w:rPr>
          <w:vertAlign w:val="superscript"/>
        </w:rPr>
        <w:t>3</w:t>
      </w:r>
      <w:r w:rsidR="00FB03E2" w:rsidRPr="00FC40D3">
        <w:t xml:space="preserve">, </w:t>
      </w:r>
      <w:r w:rsidR="00C35823" w:rsidRPr="00FC40D3">
        <w:t xml:space="preserve">Sonia </w:t>
      </w:r>
      <w:r w:rsidR="00FB03E2" w:rsidRPr="00FC40D3">
        <w:t>Muñoz</w:t>
      </w:r>
      <w:r w:rsidR="00635CC0">
        <w:rPr>
          <w:vertAlign w:val="superscript"/>
        </w:rPr>
        <w:t>4</w:t>
      </w:r>
      <w:r w:rsidR="00FB03E2" w:rsidRPr="00FC40D3">
        <w:t xml:space="preserve">, </w:t>
      </w:r>
      <w:r w:rsidR="00C35823" w:rsidRPr="00FC40D3">
        <w:t xml:space="preserve">Mariana </w:t>
      </w:r>
      <w:r w:rsidR="00FB03E2" w:rsidRPr="00FC40D3">
        <w:t>Carrillo</w:t>
      </w:r>
      <w:r w:rsidR="00635CC0">
        <w:rPr>
          <w:vertAlign w:val="superscript"/>
        </w:rPr>
        <w:t>4</w:t>
      </w:r>
      <w:r w:rsidR="00FB03E2" w:rsidRPr="00FC40D3">
        <w:t xml:space="preserve">, </w:t>
      </w:r>
      <w:r w:rsidR="00DB5DB9" w:rsidRPr="00FC40D3">
        <w:t xml:space="preserve">David </w:t>
      </w:r>
      <w:r w:rsidR="00FB03E2" w:rsidRPr="00FC40D3">
        <w:t>Spence</w:t>
      </w:r>
      <w:r w:rsidR="00635CC0">
        <w:rPr>
          <w:vertAlign w:val="superscript"/>
        </w:rPr>
        <w:t>5</w:t>
      </w:r>
      <w:r w:rsidR="00FB03E2" w:rsidRPr="00FC40D3">
        <w:t xml:space="preserve">, </w:t>
      </w:r>
      <w:r w:rsidR="00FC40D3" w:rsidRPr="00FC40D3">
        <w:t>Néstor</w:t>
      </w:r>
      <w:r w:rsidR="00411DF4" w:rsidRPr="00FC40D3">
        <w:t xml:space="preserve"> H. </w:t>
      </w:r>
      <w:r w:rsidR="00FC40D3" w:rsidRPr="00FC40D3">
        <w:t>García</w:t>
      </w:r>
      <w:r w:rsidR="00635CC0">
        <w:rPr>
          <w:vertAlign w:val="superscript"/>
        </w:rPr>
        <w:t>4</w:t>
      </w:r>
    </w:p>
    <w:p w14:paraId="33681866" w14:textId="77777777" w:rsidR="00CE709E" w:rsidRPr="00E93ED7" w:rsidRDefault="00CE709E" w:rsidP="00F54161">
      <w:pPr>
        <w:pStyle w:val="Autores"/>
        <w:rPr>
          <w:highlight w:val="white"/>
        </w:rPr>
      </w:pPr>
    </w:p>
    <w:p w14:paraId="3B7CDC65" w14:textId="77777777" w:rsidR="001972D9" w:rsidRDefault="00F54161" w:rsidP="00F54161">
      <w:pPr>
        <w:pStyle w:val="Autores"/>
        <w:rPr>
          <w:vertAlign w:val="superscript"/>
        </w:rPr>
      </w:pPr>
      <w:r>
        <w:rPr>
          <w:vertAlign w:val="superscript"/>
        </w:rPr>
        <w:t xml:space="preserve">1. </w:t>
      </w:r>
      <w:r w:rsidRPr="00F54161">
        <w:rPr>
          <w:vertAlign w:val="superscript"/>
        </w:rPr>
        <w:t xml:space="preserve">Universidad </w:t>
      </w:r>
      <w:r w:rsidR="00712196">
        <w:rPr>
          <w:vertAlign w:val="superscript"/>
        </w:rPr>
        <w:t>Católica</w:t>
      </w:r>
      <w:r w:rsidR="00005DA0">
        <w:rPr>
          <w:vertAlign w:val="superscript"/>
        </w:rPr>
        <w:t xml:space="preserve"> de </w:t>
      </w:r>
      <w:r w:rsidR="00712196">
        <w:rPr>
          <w:vertAlign w:val="superscript"/>
        </w:rPr>
        <w:t>Córdoba. Facultad de Ciencias de la Salud.</w:t>
      </w:r>
      <w:r w:rsidR="00A13118">
        <w:rPr>
          <w:vertAlign w:val="superscript"/>
        </w:rPr>
        <w:t xml:space="preserve"> Catedra Fisiología Medica </w:t>
      </w:r>
    </w:p>
    <w:p w14:paraId="401FD247" w14:textId="77777777" w:rsidR="00A13118" w:rsidRDefault="00A13118" w:rsidP="00F54161">
      <w:pPr>
        <w:pStyle w:val="Autores"/>
        <w:rPr>
          <w:vertAlign w:val="superscript"/>
        </w:rPr>
      </w:pPr>
      <w:r>
        <w:rPr>
          <w:vertAlign w:val="superscript"/>
        </w:rPr>
        <w:t>2.</w:t>
      </w:r>
      <w:r w:rsidRPr="00A13118">
        <w:t xml:space="preserve"> </w:t>
      </w:r>
      <w:r w:rsidR="00B22A07" w:rsidRPr="00B22A07">
        <w:rPr>
          <w:vertAlign w:val="superscript"/>
        </w:rPr>
        <w:t>Universidad Católica de Córdoba. Facultad de Ciencias de la Salud.</w:t>
      </w:r>
      <w:r w:rsidR="00B22A07">
        <w:rPr>
          <w:vertAlign w:val="superscript"/>
        </w:rPr>
        <w:t xml:space="preserve"> Maestría Nutrición Médica y Diabetología. </w:t>
      </w:r>
      <w:r w:rsidR="00B22A07" w:rsidRPr="00B22A07">
        <w:rPr>
          <w:vertAlign w:val="superscript"/>
        </w:rPr>
        <w:t xml:space="preserve"> Clínica Universitaria Reina Fabiola.</w:t>
      </w:r>
    </w:p>
    <w:p w14:paraId="1FD2C17D" w14:textId="77777777" w:rsidR="00635CC0" w:rsidRDefault="00635CC0" w:rsidP="00F54161">
      <w:pPr>
        <w:pStyle w:val="Autores"/>
        <w:rPr>
          <w:vertAlign w:val="superscript"/>
        </w:rPr>
      </w:pPr>
      <w:r>
        <w:rPr>
          <w:vertAlign w:val="superscript"/>
        </w:rPr>
        <w:t xml:space="preserve">3. </w:t>
      </w:r>
      <w:r w:rsidRPr="00635CC0">
        <w:rPr>
          <w:vertAlign w:val="superscript"/>
        </w:rPr>
        <w:t>Universidad Católica de Córdoba. Facultad de Ciencias de la Salud</w:t>
      </w:r>
    </w:p>
    <w:p w14:paraId="7355AE20" w14:textId="77777777" w:rsidR="00F54161" w:rsidRDefault="00635CC0" w:rsidP="00F54161">
      <w:pPr>
        <w:pStyle w:val="Autores"/>
        <w:rPr>
          <w:vertAlign w:val="superscript"/>
        </w:rPr>
      </w:pPr>
      <w:r>
        <w:rPr>
          <w:vertAlign w:val="superscript"/>
        </w:rPr>
        <w:t>4</w:t>
      </w:r>
      <w:r w:rsidR="00F54161">
        <w:rPr>
          <w:vertAlign w:val="superscript"/>
        </w:rPr>
        <w:t>.</w:t>
      </w:r>
      <w:r w:rsidR="00F54161" w:rsidRPr="00F54161">
        <w:rPr>
          <w:vertAlign w:val="superscript"/>
        </w:rPr>
        <w:t xml:space="preserve"> </w:t>
      </w:r>
      <w:r w:rsidR="00712196">
        <w:rPr>
          <w:vertAlign w:val="superscript"/>
        </w:rPr>
        <w:t xml:space="preserve">Instituto de Investigaciones en Ciencias de la Salud </w:t>
      </w:r>
      <w:r w:rsidR="00712196" w:rsidRPr="00712196">
        <w:rPr>
          <w:vertAlign w:val="superscript"/>
        </w:rPr>
        <w:t>(INICSA-CONICET)</w:t>
      </w:r>
    </w:p>
    <w:p w14:paraId="3905FA09" w14:textId="77777777" w:rsidR="000B418D" w:rsidRPr="000B418D" w:rsidRDefault="00635CC0" w:rsidP="00F54161">
      <w:pPr>
        <w:pStyle w:val="Autores"/>
        <w:rPr>
          <w:vertAlign w:val="superscript"/>
          <w:lang w:val="en-US"/>
        </w:rPr>
      </w:pPr>
      <w:r>
        <w:rPr>
          <w:vertAlign w:val="superscript"/>
          <w:lang w:val="en-US"/>
        </w:rPr>
        <w:t>5</w:t>
      </w:r>
      <w:r w:rsidR="00B22A07" w:rsidRPr="00B22A07">
        <w:rPr>
          <w:vertAlign w:val="superscript"/>
          <w:lang w:val="en-US"/>
        </w:rPr>
        <w:t>.</w:t>
      </w:r>
      <w:r w:rsidR="000B418D" w:rsidRPr="000B418D">
        <w:rPr>
          <w:vertAlign w:val="superscript"/>
          <w:lang w:val="en-US"/>
        </w:rPr>
        <w:t>Robarts Research Institute, Western Ontario University</w:t>
      </w:r>
    </w:p>
    <w:p w14:paraId="35560137" w14:textId="77777777" w:rsidR="00214EB7" w:rsidRPr="00214EB7" w:rsidRDefault="000D5029" w:rsidP="00F54161">
      <w:pPr>
        <w:pStyle w:val="Autores"/>
        <w:rPr>
          <w:vertAlign w:val="superscript"/>
          <w:lang w:val="es-ES" w:eastAsia="ar-SA"/>
        </w:rPr>
      </w:pPr>
      <w:r>
        <w:rPr>
          <w:color w:val="202124"/>
          <w:vertAlign w:val="superscript"/>
        </w:rPr>
        <w:t>C</w:t>
      </w:r>
      <w:r w:rsidRPr="00214EB7">
        <w:rPr>
          <w:color w:val="202124"/>
          <w:vertAlign w:val="superscript"/>
        </w:rPr>
        <w:t>orrespondencia:</w:t>
      </w:r>
      <w:r>
        <w:rPr>
          <w:color w:val="202124"/>
          <w:vertAlign w:val="superscript"/>
        </w:rPr>
        <w:t xml:space="preserve"> Hernán Alejandro </w:t>
      </w:r>
      <w:r w:rsidR="00F04C59">
        <w:rPr>
          <w:color w:val="202124"/>
          <w:vertAlign w:val="superscript"/>
        </w:rPr>
        <w:t>Pérez E-mail</w:t>
      </w:r>
      <w:r w:rsidR="00214EB7" w:rsidRPr="00214EB7">
        <w:rPr>
          <w:color w:val="202124"/>
          <w:vertAlign w:val="superscript"/>
        </w:rPr>
        <w:t xml:space="preserve">: </w:t>
      </w:r>
      <w:r w:rsidRPr="000D5029">
        <w:rPr>
          <w:color w:val="202124"/>
          <w:vertAlign w:val="superscript"/>
        </w:rPr>
        <w:t>hernan.perez@ucc.edu.ar</w:t>
      </w:r>
    </w:p>
    <w:p w14:paraId="3F795B92" w14:textId="77777777" w:rsidR="00410542" w:rsidRDefault="00410542">
      <w:pPr>
        <w:tabs>
          <w:tab w:val="left" w:pos="6765"/>
        </w:tabs>
        <w:rPr>
          <w:rFonts w:ascii="Arial" w:eastAsia="Arial" w:hAnsi="Arial" w:cs="Arial"/>
          <w:b/>
          <w:sz w:val="24"/>
        </w:rPr>
      </w:pPr>
    </w:p>
    <w:p w14:paraId="2DBAB98C" w14:textId="77777777" w:rsidR="00FB03E2" w:rsidRPr="00206361" w:rsidRDefault="00FB03E2">
      <w:pPr>
        <w:tabs>
          <w:tab w:val="left" w:pos="6765"/>
        </w:tabs>
        <w:rPr>
          <w:rFonts w:ascii="Arial" w:eastAsia="Arial" w:hAnsi="Arial" w:cs="Arial"/>
          <w:b/>
          <w:sz w:val="24"/>
          <w:lang w:val="en-US"/>
        </w:rPr>
      </w:pPr>
      <w:r w:rsidRPr="00206361">
        <w:rPr>
          <w:rFonts w:ascii="Arial" w:eastAsia="Arial" w:hAnsi="Arial" w:cs="Arial"/>
          <w:b/>
          <w:sz w:val="24"/>
          <w:lang w:val="en-US"/>
        </w:rPr>
        <w:t>Abstract</w:t>
      </w:r>
    </w:p>
    <w:p w14:paraId="6F6CEA9A" w14:textId="77777777" w:rsidR="00F3616E" w:rsidRPr="00206361" w:rsidRDefault="007D2A25">
      <w:pPr>
        <w:tabs>
          <w:tab w:val="left" w:pos="6765"/>
        </w:tabs>
        <w:rPr>
          <w:b/>
          <w:lang w:val="en-US"/>
        </w:rPr>
      </w:pPr>
      <w:r w:rsidRPr="00206361">
        <w:rPr>
          <w:rFonts w:ascii="Arial" w:eastAsia="Arial" w:hAnsi="Arial" w:cs="Arial"/>
          <w:b/>
          <w:sz w:val="24"/>
          <w:lang w:val="en-US"/>
        </w:rPr>
        <w:tab/>
      </w:r>
    </w:p>
    <w:p w14:paraId="4070FF5F" w14:textId="77777777" w:rsidR="005B552B" w:rsidRPr="008129BA" w:rsidRDefault="008129BA" w:rsidP="005B552B">
      <w:pPr>
        <w:rPr>
          <w:lang w:val="en-US"/>
        </w:rPr>
      </w:pPr>
      <w:r w:rsidRPr="008129BA">
        <w:rPr>
          <w:lang w:val="en-US"/>
        </w:rPr>
        <w:t>BACKGROUND AND AIMS: Atherosclerotic disease is a huge health burden worldwide, and its prevention is largely focused on controlling traditional risk factors, despite limited effectiveness in preventing cardiovascular disease (CVD) events. Improved risk stratification can be achieved by identifying the progression of total plaque area (TPA) using carotid ultrasound, with the risk of CVD events doubling when progression is detected over a 1-year interval. We hypothesize that blood pressure and serum LDL cholesterol control at target values (current clinical guidelines) are insufficient to reduce the progression of atherosclerosis in persons with high CVD risk</w:t>
      </w:r>
    </w:p>
    <w:p w14:paraId="4A01A8DE" w14:textId="77777777" w:rsidR="003B0D3E" w:rsidRPr="003B0D3E" w:rsidRDefault="008129BA" w:rsidP="003B0D3E">
      <w:pPr>
        <w:rPr>
          <w:lang w:val="en-US"/>
        </w:rPr>
      </w:pPr>
      <w:r w:rsidRPr="003B0D3E">
        <w:rPr>
          <w:lang w:val="en-US"/>
        </w:rPr>
        <w:t xml:space="preserve">METHODS AND RESULTS: </w:t>
      </w:r>
      <w:r w:rsidR="003B0D3E" w:rsidRPr="003B0D3E">
        <w:rPr>
          <w:lang w:val="en-US"/>
        </w:rPr>
        <w:t xml:space="preserve">Prospective, observational study of 742 participants with high cardiovascular risk in a cardiovascular primary prevention program.  Two ultrasound measurements of TPA were acquired for each participant for at least one year. We studied only those who maintained a blood pressure below 130/80 mmHg and serum Low-Density Lipoprotein Cholesterol (LDL-C) below 100 mg/dl throughout the study interval (57 participants). Participants with plaque progression of TPA &gt; 5 mm2, were compared to those with TPA changes of 5 mm2 or less (non-progression group) using a multivariable logistic regression controlling for cardiovascular risk factors.  </w:t>
      </w:r>
    </w:p>
    <w:p w14:paraId="3CB81FD2" w14:textId="77777777" w:rsidR="005B552B" w:rsidRPr="003B0D3E" w:rsidRDefault="003B0D3E" w:rsidP="003B0D3E">
      <w:pPr>
        <w:rPr>
          <w:bdr w:val="none" w:sz="0" w:space="0" w:color="auto" w:frame="1"/>
          <w:lang w:val="en-US"/>
        </w:rPr>
      </w:pPr>
      <w:r w:rsidRPr="003B0D3E">
        <w:rPr>
          <w:lang w:val="en-US"/>
        </w:rPr>
        <w:t>We identified TPA progression in 22 of 57 (38.6%) participants. No differences were detected for any covariate when comparing progression versus non-progression.</w:t>
      </w:r>
    </w:p>
    <w:p w14:paraId="7EA98697" w14:textId="77777777" w:rsidR="003B0D3E" w:rsidRDefault="003B0D3E" w:rsidP="005B552B">
      <w:pPr>
        <w:rPr>
          <w:color w:val="000000"/>
          <w:lang w:val="en-US"/>
        </w:rPr>
      </w:pPr>
      <w:r w:rsidRPr="003B0D3E">
        <w:rPr>
          <w:color w:val="000000"/>
          <w:lang w:val="en-US"/>
        </w:rPr>
        <w:t>CONCLUSION: Progression of TPA occurs in as many as 38.6% of individuals despite maintaining BP below 130/80 and serum LDL-C below 100 mg/dl. TPA evaluation may help address the limitations of established guidelines for the prevention of CVD events in high-risk individuals.</w:t>
      </w:r>
    </w:p>
    <w:p w14:paraId="489D3DC0" w14:textId="77777777" w:rsidR="00DC18CA" w:rsidRPr="00477C49" w:rsidRDefault="00DC18CA">
      <w:pPr>
        <w:rPr>
          <w:lang w:val="en-US"/>
        </w:rPr>
      </w:pPr>
    </w:p>
    <w:p w14:paraId="5356C1FF" w14:textId="77777777" w:rsidR="00DC18CA" w:rsidRPr="00027D33" w:rsidRDefault="00206361">
      <w:pPr>
        <w:rPr>
          <w:rFonts w:ascii="Arial" w:eastAsia="Arial" w:hAnsi="Arial" w:cs="Arial"/>
          <w:b/>
          <w:sz w:val="24"/>
          <w:lang w:val="en-US"/>
        </w:rPr>
      </w:pPr>
      <w:r>
        <w:rPr>
          <w:noProof/>
          <w:lang w:val="en-US" w:eastAsia="en-US"/>
        </w:rPr>
        <mc:AlternateContent>
          <mc:Choice Requires="wps">
            <w:drawing>
              <wp:anchor distT="0" distB="0" distL="114300" distR="114300" simplePos="0" relativeHeight="251717632" behindDoc="0" locked="0" layoutInCell="1" hidden="0" allowOverlap="1" wp14:anchorId="10A8F847" wp14:editId="3D49696D">
                <wp:simplePos x="0" y="0"/>
                <wp:positionH relativeFrom="rightMargin">
                  <wp:posOffset>187325</wp:posOffset>
                </wp:positionH>
                <wp:positionV relativeFrom="paragraph">
                  <wp:posOffset>925830</wp:posOffset>
                </wp:positionV>
                <wp:extent cx="438150" cy="409575"/>
                <wp:effectExtent l="0" t="0" r="19050" b="28575"/>
                <wp:wrapNone/>
                <wp:docPr id="31" name="Rectángulo 31"/>
                <wp:cNvGraphicFramePr/>
                <a:graphic xmlns:a="http://schemas.openxmlformats.org/drawingml/2006/main">
                  <a:graphicData uri="http://schemas.microsoft.com/office/word/2010/wordprocessingShape">
                    <wps:wsp>
                      <wps:cNvSpPr/>
                      <wps:spPr>
                        <a:xfrm flipH="1">
                          <a:off x="0" y="0"/>
                          <a:ext cx="438150" cy="409575"/>
                        </a:xfrm>
                        <a:prstGeom prst="rect">
                          <a:avLst/>
                        </a:prstGeom>
                        <a:solidFill>
                          <a:srgbClr val="509D2F"/>
                        </a:solidFill>
                        <a:ln w="9525" cap="flat" cmpd="sng">
                          <a:solidFill>
                            <a:srgbClr val="000000"/>
                          </a:solidFill>
                          <a:prstDash val="solid"/>
                          <a:round/>
                          <a:headEnd type="none" w="sm" len="sm"/>
                          <a:tailEnd type="none" w="sm" len="sm"/>
                        </a:ln>
                      </wps:spPr>
                      <wps:txbx>
                        <w:txbxContent>
                          <w:p w14:paraId="7A55073B" w14:textId="7B65FC48" w:rsidR="00BF1F97" w:rsidRPr="00E312BC" w:rsidRDefault="003F7F94" w:rsidP="00BF1F97">
                            <w:pPr>
                              <w:jc w:val="center"/>
                              <w:textDirection w:val="btLr"/>
                              <w:rPr>
                                <w:b/>
                                <w:color w:val="FFFFFF"/>
                                <w:sz w:val="24"/>
                                <w:lang w:val="es-MX"/>
                              </w:rPr>
                            </w:pPr>
                            <w:r>
                              <w:rPr>
                                <w:b/>
                                <w:color w:val="FFFFFF"/>
                                <w:sz w:val="24"/>
                                <w:lang w:val="es-MX"/>
                              </w:rPr>
                              <w:t>08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A8F847" id="Rectángulo 31" o:spid="_x0000_s1026" style="position:absolute;left:0;text-align:left;margin-left:14.75pt;margin-top:72.9pt;width:34.5pt;height:32.25pt;flip:x;z-index:251717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" fillcolor="#509d2f">
                <v:stroke startarrowwidth="narrow" startarrowlength="short" endarrowwidth="narrow" endarrowlength="short" joinstyle="round"/>
                <v:textbox inset="2.53958mm,1.2694mm,2.53958mm,1.2694mm">
                  <w:txbxContent>
                    <w:p w14:paraId="7A55073B" w14:textId="7B65FC48" w:rsidR="00BF1F97" w:rsidRPr="00E312BC" w:rsidRDefault="003F7F94" w:rsidP="00BF1F97">
                      <w:pPr>
                        <w:jc w:val="center"/>
                        <w:textDirection w:val="btLr"/>
                        <w:rPr>
                          <w:b/>
                          <w:color w:val="FFFFFF"/>
                          <w:sz w:val="24"/>
                          <w:lang w:val="es-MX"/>
                        </w:rPr>
                      </w:pPr>
                      <w:r>
                        <w:rPr>
                          <w:b/>
                          <w:color w:val="FFFFFF"/>
                          <w:sz w:val="24"/>
                          <w:lang w:val="es-MX"/>
                        </w:rPr>
                        <w:t>08</w:t>
                      </w:r>
                    </w:p>
                  </w:txbxContent>
                </v:textbox>
                <w10:wrap anchorx="margin"/>
              </v:rect>
            </w:pict>
          </mc:Fallback>
        </mc:AlternateContent>
      </w:r>
      <w:r w:rsidR="00DC18CA" w:rsidRPr="00027D33">
        <w:rPr>
          <w:rFonts w:ascii="Arial" w:eastAsia="Arial" w:hAnsi="Arial" w:cs="Arial"/>
          <w:b/>
          <w:sz w:val="24"/>
          <w:lang w:val="en-US"/>
        </w:rPr>
        <w:t>Keywords:</w:t>
      </w:r>
      <w:r w:rsidR="00027D33" w:rsidRPr="00027D33">
        <w:rPr>
          <w:lang w:val="en-US"/>
        </w:rPr>
        <w:t xml:space="preserve"> </w:t>
      </w:r>
      <w:r w:rsidR="00A13118">
        <w:rPr>
          <w:lang w:val="en-US"/>
        </w:rPr>
        <w:t xml:space="preserve">Subclinical </w:t>
      </w:r>
      <w:r w:rsidR="00027D33" w:rsidRPr="00027D33">
        <w:rPr>
          <w:rFonts w:eastAsia="Arial"/>
          <w:szCs w:val="20"/>
          <w:lang w:val="en-US"/>
        </w:rPr>
        <w:t xml:space="preserve">Atherosclerosis, </w:t>
      </w:r>
      <w:r w:rsidR="00A13118">
        <w:rPr>
          <w:rFonts w:eastAsia="Arial"/>
          <w:szCs w:val="20"/>
          <w:lang w:val="en-US"/>
        </w:rPr>
        <w:t>Cardiovascular Risk factors, Arterial Hypertension, Lipids</w:t>
      </w:r>
    </w:p>
    <w:p w14:paraId="425D25E8" w14:textId="77777777" w:rsidR="00DB67DA" w:rsidRPr="00A13118" w:rsidRDefault="00B360AF" w:rsidP="00DB67DA">
      <w:pPr>
        <w:pStyle w:val="Ttulo1"/>
        <w:rPr>
          <w:rFonts w:eastAsia="Arial" w:cs="Arial"/>
          <w:b w:val="0"/>
          <w:lang w:val="es-AR"/>
        </w:rPr>
      </w:pPr>
      <w:r w:rsidRPr="00A13118">
        <w:rPr>
          <w:rFonts w:eastAsia="Arial"/>
          <w:lang w:val="es-AR"/>
        </w:rPr>
        <w:lastRenderedPageBreak/>
        <w:t>Resumen</w:t>
      </w:r>
    </w:p>
    <w:p w14:paraId="0A84200F" w14:textId="77777777" w:rsidR="00B360AF" w:rsidRPr="00B360AF" w:rsidRDefault="00CC54A9" w:rsidP="00B360AF">
      <w:pPr>
        <w:rPr>
          <w:lang w:val="es-AR"/>
        </w:rPr>
      </w:pPr>
      <w:r w:rsidRPr="00B360AF">
        <w:rPr>
          <w:lang w:val="es-AR"/>
        </w:rPr>
        <w:t>INTRODUC</w:t>
      </w:r>
      <w:r w:rsidR="00B360AF" w:rsidRPr="00B360AF">
        <w:rPr>
          <w:lang w:val="es-AR"/>
        </w:rPr>
        <w:t>ION</w:t>
      </w:r>
      <w:r w:rsidRPr="00B360AF">
        <w:rPr>
          <w:lang w:val="es-AR"/>
        </w:rPr>
        <w:t xml:space="preserve">: </w:t>
      </w:r>
      <w:r w:rsidR="00B360AF" w:rsidRPr="00B360AF">
        <w:rPr>
          <w:lang w:val="es-AR"/>
        </w:rPr>
        <w:t>La enfermedad aterosclerótica es una enorme carga para la salud en</w:t>
      </w:r>
      <w:r w:rsidR="00B360AF">
        <w:rPr>
          <w:lang w:val="es-AR"/>
        </w:rPr>
        <w:t xml:space="preserve"> </w:t>
      </w:r>
      <w:r w:rsidR="00B360AF" w:rsidRPr="00B360AF">
        <w:rPr>
          <w:lang w:val="es-AR"/>
        </w:rPr>
        <w:t>todo el mundo, y su prevención está basada en gran medida en el control de los</w:t>
      </w:r>
      <w:r w:rsidR="00B360AF">
        <w:rPr>
          <w:lang w:val="es-AR"/>
        </w:rPr>
        <w:t xml:space="preserve"> </w:t>
      </w:r>
      <w:r w:rsidR="00B360AF" w:rsidRPr="00B360AF">
        <w:rPr>
          <w:lang w:val="es-AR"/>
        </w:rPr>
        <w:t>factores de riesgo tradicionales, a pesar de la eficacia limitada en la prevención de</w:t>
      </w:r>
      <w:r w:rsidR="00B360AF">
        <w:rPr>
          <w:lang w:val="es-AR"/>
        </w:rPr>
        <w:t xml:space="preserve"> </w:t>
      </w:r>
      <w:r w:rsidR="00B360AF" w:rsidRPr="00B360AF">
        <w:rPr>
          <w:lang w:val="es-AR"/>
        </w:rPr>
        <w:t>eventos cardiovascular (ECV). La mejoría en la estratificación del riesgo se puede</w:t>
      </w:r>
      <w:r w:rsidR="00B360AF">
        <w:rPr>
          <w:lang w:val="es-AR"/>
        </w:rPr>
        <w:t xml:space="preserve"> </w:t>
      </w:r>
      <w:r w:rsidR="00B360AF" w:rsidRPr="00B360AF">
        <w:rPr>
          <w:lang w:val="es-AR"/>
        </w:rPr>
        <w:t>lograr a través de la detección de progresión del área total de la placa (TPA)</w:t>
      </w:r>
      <w:r w:rsidR="00B360AF">
        <w:rPr>
          <w:lang w:val="es-AR"/>
        </w:rPr>
        <w:t xml:space="preserve"> </w:t>
      </w:r>
      <w:r w:rsidR="00B360AF" w:rsidRPr="00B360AF">
        <w:rPr>
          <w:lang w:val="es-AR"/>
        </w:rPr>
        <w:t>medida por ecografía carotidea, la cual ha demostrado duplicación del riesgo basal</w:t>
      </w:r>
      <w:r w:rsidR="00B360AF">
        <w:rPr>
          <w:lang w:val="es-AR"/>
        </w:rPr>
        <w:t xml:space="preserve"> </w:t>
      </w:r>
      <w:r w:rsidR="00B360AF" w:rsidRPr="00B360AF">
        <w:rPr>
          <w:lang w:val="es-AR"/>
        </w:rPr>
        <w:t>en estos pacientes en un intervalo de 1 año. Nuestra hipótesis es que el control de</w:t>
      </w:r>
      <w:r w:rsidR="00B360AF">
        <w:rPr>
          <w:lang w:val="es-AR"/>
        </w:rPr>
        <w:t xml:space="preserve"> </w:t>
      </w:r>
      <w:r w:rsidR="00B360AF" w:rsidRPr="00B360AF">
        <w:rPr>
          <w:lang w:val="es-AR"/>
        </w:rPr>
        <w:t>la presión arterial y el colesterol LDL sérico en valores objetivo (según guías</w:t>
      </w:r>
      <w:r w:rsidR="00B360AF">
        <w:rPr>
          <w:lang w:val="es-AR"/>
        </w:rPr>
        <w:t xml:space="preserve"> </w:t>
      </w:r>
      <w:r w:rsidR="00B360AF" w:rsidRPr="00B360AF">
        <w:rPr>
          <w:lang w:val="es-AR"/>
        </w:rPr>
        <w:t>clínicas actuales) son insuficientes para reducir la progresión de la aterosclerosis</w:t>
      </w:r>
    </w:p>
    <w:p w14:paraId="09CE8CB6" w14:textId="77777777" w:rsidR="00B360AF" w:rsidRPr="00B360AF" w:rsidRDefault="00B360AF" w:rsidP="00B360AF">
      <w:pPr>
        <w:rPr>
          <w:lang w:val="es-AR"/>
        </w:rPr>
      </w:pPr>
      <w:r w:rsidRPr="00B360AF">
        <w:rPr>
          <w:lang w:val="es-AR"/>
        </w:rPr>
        <w:t>en personas sin eventos previos, con alto riesgo cardiovascular.</w:t>
      </w:r>
    </w:p>
    <w:p w14:paraId="53F8CA81" w14:textId="77777777" w:rsidR="00B360AF" w:rsidRPr="00B360AF" w:rsidRDefault="00E93ED7" w:rsidP="00B360AF">
      <w:pPr>
        <w:rPr>
          <w:lang w:val="es-AR"/>
        </w:rPr>
      </w:pPr>
      <w:r w:rsidRPr="00B360AF">
        <w:rPr>
          <w:lang w:val="es-AR"/>
        </w:rPr>
        <w:t>M</w:t>
      </w:r>
      <w:r w:rsidR="00B360AF" w:rsidRPr="00B360AF">
        <w:rPr>
          <w:lang w:val="es-AR"/>
        </w:rPr>
        <w:t>ETODOS Y RESULTADOS</w:t>
      </w:r>
      <w:r w:rsidR="00CC54A9" w:rsidRPr="00B360AF">
        <w:rPr>
          <w:lang w:val="es-AR"/>
        </w:rPr>
        <w:t xml:space="preserve">: </w:t>
      </w:r>
      <w:r w:rsidR="00B360AF" w:rsidRPr="00B360AF">
        <w:rPr>
          <w:lang w:val="es-AR"/>
        </w:rPr>
        <w:t>Estudio observacional prospectivo de 742 participantes</w:t>
      </w:r>
      <w:r w:rsidR="00B360AF">
        <w:rPr>
          <w:lang w:val="es-AR"/>
        </w:rPr>
        <w:t xml:space="preserve"> </w:t>
      </w:r>
      <w:r w:rsidR="00B360AF" w:rsidRPr="00B360AF">
        <w:rPr>
          <w:lang w:val="es-AR"/>
        </w:rPr>
        <w:t>con alto riesgo cardiovascular en un programa de prevención primaria</w:t>
      </w:r>
      <w:r w:rsidR="00B360AF">
        <w:rPr>
          <w:lang w:val="es-AR"/>
        </w:rPr>
        <w:t xml:space="preserve"> </w:t>
      </w:r>
      <w:r w:rsidR="00B360AF" w:rsidRPr="00B360AF">
        <w:rPr>
          <w:lang w:val="es-AR"/>
        </w:rPr>
        <w:t>cardiovascular. Se determinaron dos mediciones de ultrasonido de TPA para cada</w:t>
      </w:r>
      <w:r w:rsidR="00B360AF">
        <w:rPr>
          <w:lang w:val="es-AR"/>
        </w:rPr>
        <w:t xml:space="preserve"> </w:t>
      </w:r>
      <w:r w:rsidR="00B360AF" w:rsidRPr="00B360AF">
        <w:rPr>
          <w:lang w:val="es-AR"/>
        </w:rPr>
        <w:t>participante durante al menos un año. Incluimos en el análisis 57 participantes que</w:t>
      </w:r>
      <w:r w:rsidR="00B360AF">
        <w:rPr>
          <w:lang w:val="es-AR"/>
        </w:rPr>
        <w:t xml:space="preserve"> </w:t>
      </w:r>
      <w:r w:rsidR="00B360AF" w:rsidRPr="00B360AF">
        <w:rPr>
          <w:lang w:val="es-AR"/>
        </w:rPr>
        <w:t>mantuvieron una presión arterial por debajo de 130/80 mmHg y un colesterol</w:t>
      </w:r>
      <w:r w:rsidR="00B360AF">
        <w:rPr>
          <w:lang w:val="es-AR"/>
        </w:rPr>
        <w:t xml:space="preserve"> </w:t>
      </w:r>
      <w:r w:rsidR="00B360AF" w:rsidRPr="00B360AF">
        <w:rPr>
          <w:lang w:val="es-AR"/>
        </w:rPr>
        <w:t>sérico de lipoproteínas de baja densidad (LDL-C) por debajo de 100 mg/dl durante</w:t>
      </w:r>
      <w:r w:rsidR="00B360AF">
        <w:rPr>
          <w:lang w:val="es-AR"/>
        </w:rPr>
        <w:t xml:space="preserve"> </w:t>
      </w:r>
      <w:r w:rsidR="00B360AF" w:rsidRPr="00B360AF">
        <w:rPr>
          <w:lang w:val="es-AR"/>
        </w:rPr>
        <w:t>todo un año. Los participantes con progresión de la placa de TPA definida como</w:t>
      </w:r>
      <w:r w:rsidR="00B360AF">
        <w:rPr>
          <w:lang w:val="es-AR"/>
        </w:rPr>
        <w:t xml:space="preserve"> </w:t>
      </w:r>
      <w:r w:rsidR="00B360AF" w:rsidRPr="00B360AF">
        <w:rPr>
          <w:lang w:val="es-AR"/>
        </w:rPr>
        <w:t>aumento sobre el basal mayor de 5 mm2 se compararon con aquellos con cambios</w:t>
      </w:r>
      <w:r w:rsidR="00B360AF">
        <w:rPr>
          <w:lang w:val="es-AR"/>
        </w:rPr>
        <w:t xml:space="preserve"> </w:t>
      </w:r>
      <w:r w:rsidR="00B360AF" w:rsidRPr="00B360AF">
        <w:rPr>
          <w:lang w:val="es-AR"/>
        </w:rPr>
        <w:t>de TPA de 5 mm2 o menos (grupo sin progresión) mediante análisis de regresión</w:t>
      </w:r>
    </w:p>
    <w:p w14:paraId="0A7D8D09" w14:textId="77777777" w:rsidR="00B360AF" w:rsidRPr="00B360AF" w:rsidRDefault="00B360AF" w:rsidP="00B360AF">
      <w:pPr>
        <w:rPr>
          <w:lang w:val="es-AR"/>
        </w:rPr>
      </w:pPr>
      <w:r w:rsidRPr="00B360AF">
        <w:rPr>
          <w:lang w:val="es-AR"/>
        </w:rPr>
        <w:t>logística multivariable</w:t>
      </w:r>
      <w:r>
        <w:rPr>
          <w:lang w:val="es-AR"/>
        </w:rPr>
        <w:t>.</w:t>
      </w:r>
    </w:p>
    <w:p w14:paraId="0D984167" w14:textId="77777777" w:rsidR="00B360AF" w:rsidRDefault="00B360AF" w:rsidP="00B360AF">
      <w:pPr>
        <w:rPr>
          <w:lang w:val="es-AR"/>
        </w:rPr>
      </w:pPr>
      <w:r w:rsidRPr="00B360AF">
        <w:rPr>
          <w:lang w:val="es-AR"/>
        </w:rPr>
        <w:t>Después de una media de estadía en programa de casi 8 años, con Presión Arterial</w:t>
      </w:r>
      <w:r>
        <w:rPr>
          <w:lang w:val="es-AR"/>
        </w:rPr>
        <w:t xml:space="preserve"> </w:t>
      </w:r>
      <w:r w:rsidRPr="00B360AF">
        <w:rPr>
          <w:lang w:val="es-AR"/>
        </w:rPr>
        <w:t>de 120.4 + 9/68.6 + 8 mmHg y LDL colesterol de 81 + 25 mg/dl, identificamos</w:t>
      </w:r>
      <w:r>
        <w:rPr>
          <w:lang w:val="es-AR"/>
        </w:rPr>
        <w:t xml:space="preserve"> </w:t>
      </w:r>
      <w:r w:rsidRPr="00B360AF">
        <w:rPr>
          <w:lang w:val="es-AR"/>
        </w:rPr>
        <w:t>progresión de TPA en 22 de 57 (39%) participantes. No detectándose diferencias</w:t>
      </w:r>
      <w:r>
        <w:rPr>
          <w:lang w:val="es-AR"/>
        </w:rPr>
        <w:t xml:space="preserve"> </w:t>
      </w:r>
      <w:r w:rsidRPr="00B360AF">
        <w:rPr>
          <w:lang w:val="es-AR"/>
        </w:rPr>
        <w:t>para ninguna covariable al comparar progresión versus no progresión.</w:t>
      </w:r>
    </w:p>
    <w:p w14:paraId="2511C990" w14:textId="77777777" w:rsidR="009C1ACB" w:rsidRDefault="00B360AF">
      <w:pPr>
        <w:rPr>
          <w:lang w:val="es-AR"/>
        </w:rPr>
      </w:pPr>
      <w:r>
        <w:rPr>
          <w:lang w:val="es-AR"/>
        </w:rPr>
        <w:t xml:space="preserve">CONCLUSIÓN: </w:t>
      </w:r>
      <w:r w:rsidR="009C1ACB" w:rsidRPr="009C1ACB">
        <w:rPr>
          <w:lang w:val="es-AR"/>
        </w:rPr>
        <w:t>La progresión de TPA ocurre hasta en el 39% de los individuos a pesar de mantener la presión arterial por debajo de 130/80 y el LDL-C sérico por debajo de 100 mg/dl. La evaluación de TPA puede ayudar a resolver las limitaciones de las pautas establecidas para la prevención de eventos de ECV en personas de alto riesgo.</w:t>
      </w:r>
    </w:p>
    <w:p w14:paraId="366E552E" w14:textId="77777777" w:rsidR="009C1ACB" w:rsidRDefault="009C1ACB">
      <w:pPr>
        <w:rPr>
          <w:rFonts w:ascii="Arial" w:hAnsi="Arial" w:cs="Arial"/>
          <w:b/>
          <w:sz w:val="24"/>
          <w:lang w:val="es-AR"/>
        </w:rPr>
      </w:pPr>
    </w:p>
    <w:p w14:paraId="41C6A492" w14:textId="77777777" w:rsidR="00731685" w:rsidRPr="00E33A69" w:rsidRDefault="00DC18CA">
      <w:pPr>
        <w:sectPr w:rsidR="00731685" w:rsidRPr="00E33A69">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r w:rsidRPr="00DC18CA">
        <w:rPr>
          <w:rFonts w:ascii="Arial" w:hAnsi="Arial" w:cs="Arial"/>
          <w:b/>
          <w:sz w:val="24"/>
          <w:lang w:val="es-AR"/>
        </w:rPr>
        <w:t>Palabras clave</w:t>
      </w:r>
      <w:r w:rsidR="007D2A25" w:rsidRPr="00DC18CA">
        <w:rPr>
          <w:rFonts w:ascii="Arial" w:hAnsi="Arial" w:cs="Arial"/>
          <w:b/>
          <w:sz w:val="24"/>
          <w:lang w:val="es-AR"/>
        </w:rPr>
        <w:t>:</w:t>
      </w:r>
      <w:r w:rsidR="007D2A25" w:rsidRPr="0018325A">
        <w:rPr>
          <w:lang w:val="es-AR"/>
        </w:rPr>
        <w:t xml:space="preserve"> </w:t>
      </w:r>
      <w:r w:rsidR="00A13118">
        <w:t>A</w:t>
      </w:r>
      <w:r w:rsidRPr="00DC18CA">
        <w:t>teroesclerosis</w:t>
      </w:r>
      <w:r w:rsidR="00A13118">
        <w:t xml:space="preserve"> Subclínica, Factores de Riesgo Cardiovasculares, Hipertensión Arterial, Lípidos.</w:t>
      </w:r>
    </w:p>
    <w:p w14:paraId="7CA44D3A" w14:textId="77777777" w:rsidR="00731685" w:rsidRPr="00C90A61" w:rsidRDefault="00731685" w:rsidP="00731685">
      <w:pPr>
        <w:pStyle w:val="Ttulo1"/>
        <w:rPr>
          <w:lang w:val="en-US"/>
        </w:rPr>
      </w:pPr>
      <w:r w:rsidRPr="00C90A61">
        <w:rPr>
          <w:lang w:val="en-US"/>
        </w:rPr>
        <w:lastRenderedPageBreak/>
        <w:t>Introduction</w:t>
      </w:r>
    </w:p>
    <w:p w14:paraId="4633A241" w14:textId="77777777" w:rsidR="00B22A07" w:rsidRDefault="00A63B73" w:rsidP="009C1ACB">
      <w:pPr>
        <w:rPr>
          <w:szCs w:val="20"/>
          <w:lang w:val="en-US"/>
        </w:rPr>
      </w:pPr>
      <w:r w:rsidRPr="00A63B73">
        <w:rPr>
          <w:szCs w:val="20"/>
          <w:lang w:val="en-US"/>
        </w:rPr>
        <w:t>Deaths from cardiovascular disease (CVD) events are a major health problem in the world and currently account for about 30% of overall mortality. Every year, more people die from CVD than from any other cause</w:t>
      </w:r>
      <w:r w:rsidRPr="00A63B73">
        <w:rPr>
          <w:szCs w:val="20"/>
          <w:vertAlign w:val="superscript"/>
          <w:lang w:val="en-US"/>
        </w:rPr>
        <w:t>1,2</w:t>
      </w:r>
      <w:r w:rsidRPr="00A63B73">
        <w:rPr>
          <w:szCs w:val="20"/>
          <w:lang w:val="en-US"/>
        </w:rPr>
        <w:t>. More importantly, a substantial proportion of deaths (about 50%), occur in people under 70 years of age, the population's most productive years of life</w:t>
      </w:r>
      <w:r w:rsidRPr="00A63B73">
        <w:rPr>
          <w:szCs w:val="20"/>
          <w:vertAlign w:val="superscript"/>
          <w:lang w:val="en-US"/>
        </w:rPr>
        <w:t>3</w:t>
      </w:r>
      <w:r>
        <w:rPr>
          <w:szCs w:val="20"/>
          <w:lang w:val="en-US"/>
        </w:rPr>
        <w:t xml:space="preserve">. </w:t>
      </w:r>
      <w:r w:rsidRPr="00A63B73">
        <w:rPr>
          <w:szCs w:val="20"/>
          <w:lang w:val="en-US"/>
        </w:rPr>
        <w:t>It has been estimated that nearly half of men and one-third of women will suffer from some manifestation of ischemic heart disease during their lifetimes</w:t>
      </w:r>
      <w:r w:rsidRPr="00A63B73">
        <w:rPr>
          <w:szCs w:val="20"/>
          <w:vertAlign w:val="superscript"/>
          <w:lang w:val="en-US"/>
        </w:rPr>
        <w:t>4</w:t>
      </w:r>
      <w:r w:rsidRPr="00A63B73">
        <w:rPr>
          <w:szCs w:val="20"/>
          <w:lang w:val="en-US"/>
        </w:rPr>
        <w:t>. Atherosclerosis is the leading cause of these events, but because it is asymptomatic for a long period</w:t>
      </w:r>
      <w:r w:rsidRPr="00A63B73">
        <w:rPr>
          <w:szCs w:val="20"/>
          <w:vertAlign w:val="superscript"/>
          <w:lang w:val="en-US"/>
        </w:rPr>
        <w:t>5</w:t>
      </w:r>
      <w:r w:rsidRPr="00A63B73">
        <w:rPr>
          <w:szCs w:val="20"/>
          <w:lang w:val="en-US"/>
        </w:rPr>
        <w:t>, early diagnosis is very difficult. Current guidelines recommend diagnosing and treating patients according to the risk presented by clinical scores (Framingham Risk Score</w:t>
      </w:r>
      <w:r w:rsidRPr="00A63B73">
        <w:rPr>
          <w:szCs w:val="20"/>
          <w:vertAlign w:val="superscript"/>
          <w:lang w:val="en-US"/>
        </w:rPr>
        <w:t>6</w:t>
      </w:r>
      <w:r w:rsidRPr="00A63B73">
        <w:rPr>
          <w:szCs w:val="20"/>
          <w:lang w:val="en-US"/>
        </w:rPr>
        <w:t>(FRS), SCORE</w:t>
      </w:r>
      <w:r w:rsidRPr="00A63B73">
        <w:rPr>
          <w:szCs w:val="20"/>
          <w:vertAlign w:val="superscript"/>
          <w:lang w:val="en-US"/>
        </w:rPr>
        <w:t>7</w:t>
      </w:r>
      <w:r w:rsidRPr="00A63B73">
        <w:rPr>
          <w:szCs w:val="20"/>
          <w:lang w:val="en-US"/>
        </w:rPr>
        <w:t>, and others, which are derived from classic cardiovascular risk factors). Assman et al. reported that among patients suffering an acute myocardial infarction, 45% had a low Prospective Cardiovascular Munster Study (PROCAM) risk score</w:t>
      </w:r>
      <w:r w:rsidRPr="00A63B73">
        <w:rPr>
          <w:szCs w:val="20"/>
          <w:vertAlign w:val="superscript"/>
          <w:lang w:val="en-US"/>
        </w:rPr>
        <w:t>8</w:t>
      </w:r>
      <w:r w:rsidRPr="00A63B73">
        <w:rPr>
          <w:szCs w:val="20"/>
          <w:lang w:val="en-US"/>
        </w:rPr>
        <w:t xml:space="preserve">. In a prospective study in Germany, among patients who had a myocardial infarction, only 21.2% were classified as high-risk by a PROCAM </w:t>
      </w:r>
      <w:bookmarkStart w:id="1" w:name="_GoBack"/>
      <w:bookmarkEnd w:id="1"/>
    </w:p>
    <w:p w14:paraId="45E47EF0" w14:textId="77777777" w:rsidR="00B22A07" w:rsidRDefault="00B22A07" w:rsidP="009C1ACB">
      <w:pPr>
        <w:rPr>
          <w:szCs w:val="20"/>
          <w:lang w:val="en-US"/>
        </w:rPr>
      </w:pPr>
    </w:p>
    <w:p w14:paraId="69E6A988" w14:textId="77777777" w:rsidR="00B22A07" w:rsidRDefault="00B22A07" w:rsidP="009C1ACB">
      <w:pPr>
        <w:rPr>
          <w:szCs w:val="20"/>
          <w:lang w:val="en-US"/>
        </w:rPr>
      </w:pPr>
    </w:p>
    <w:p w14:paraId="5102B945" w14:textId="77777777" w:rsidR="00B22A07" w:rsidRDefault="00B22A07" w:rsidP="009C1ACB">
      <w:pPr>
        <w:rPr>
          <w:szCs w:val="20"/>
          <w:lang w:val="en-US"/>
        </w:rPr>
      </w:pPr>
    </w:p>
    <w:p w14:paraId="708A775C" w14:textId="77777777" w:rsidR="00A63B73" w:rsidRDefault="00A63B73" w:rsidP="009C1ACB">
      <w:pPr>
        <w:rPr>
          <w:szCs w:val="20"/>
          <w:lang w:val="en-US"/>
        </w:rPr>
      </w:pPr>
      <w:r w:rsidRPr="00A63B73">
        <w:rPr>
          <w:szCs w:val="20"/>
          <w:lang w:val="en-US"/>
        </w:rPr>
        <w:t>score, whereas 84.9% were classified as high-risk by measurement of carotid total plaque area (TPA)</w:t>
      </w:r>
      <w:r w:rsidRPr="00A63B73">
        <w:rPr>
          <w:szCs w:val="20"/>
          <w:vertAlign w:val="superscript"/>
          <w:lang w:val="en-US"/>
        </w:rPr>
        <w:t>9</w:t>
      </w:r>
      <w:r w:rsidRPr="00A63B73">
        <w:rPr>
          <w:szCs w:val="20"/>
          <w:lang w:val="en-US"/>
        </w:rPr>
        <w:t>. The traditional approach to assessing risk has two problems: a low sensitivity to identify patients at high cardiovascular risk</w:t>
      </w:r>
      <w:r w:rsidRPr="00A63B73">
        <w:rPr>
          <w:szCs w:val="20"/>
          <w:vertAlign w:val="superscript"/>
          <w:lang w:val="en-US"/>
        </w:rPr>
        <w:t>10</w:t>
      </w:r>
      <w:r w:rsidRPr="00A63B73">
        <w:rPr>
          <w:szCs w:val="20"/>
          <w:lang w:val="en-US"/>
        </w:rPr>
        <w:t>, and in clinical studies, no more than 50% effectiveness in reducing cardiovascular events, as seen in the biggest multifactorial intervention in diabetic patients</w:t>
      </w:r>
      <w:r w:rsidRPr="00A63B73">
        <w:rPr>
          <w:szCs w:val="20"/>
          <w:vertAlign w:val="superscript"/>
          <w:lang w:val="en-US"/>
        </w:rPr>
        <w:t>11</w:t>
      </w:r>
      <w:r w:rsidRPr="00A63B73">
        <w:rPr>
          <w:szCs w:val="20"/>
          <w:lang w:val="en-US"/>
        </w:rPr>
        <w:t>.</w:t>
      </w:r>
    </w:p>
    <w:p w14:paraId="0B1208D3" w14:textId="77777777" w:rsidR="00A63B73" w:rsidRDefault="00206361" w:rsidP="009C1ACB">
      <w:pPr>
        <w:rPr>
          <w:szCs w:val="20"/>
          <w:lang w:val="en-US"/>
        </w:rPr>
      </w:pPr>
      <w:r>
        <w:rPr>
          <w:noProof/>
          <w:lang w:val="en-US" w:eastAsia="en-US"/>
        </w:rPr>
        <mc:AlternateContent>
          <mc:Choice Requires="wps">
            <w:drawing>
              <wp:anchor distT="0" distB="0" distL="114300" distR="114300" simplePos="0" relativeHeight="251719680" behindDoc="0" locked="0" layoutInCell="1" hidden="0" allowOverlap="1" wp14:anchorId="445E45D3" wp14:editId="6FA99793">
                <wp:simplePos x="0" y="0"/>
                <wp:positionH relativeFrom="rightMargin">
                  <wp:posOffset>139700</wp:posOffset>
                </wp:positionH>
                <wp:positionV relativeFrom="paragraph">
                  <wp:posOffset>2782570</wp:posOffset>
                </wp:positionV>
                <wp:extent cx="456565" cy="409575"/>
                <wp:effectExtent l="0" t="0" r="19685" b="28575"/>
                <wp:wrapNone/>
                <wp:docPr id="6" name="Rectángulo 6"/>
                <wp:cNvGraphicFramePr/>
                <a:graphic xmlns:a="http://schemas.openxmlformats.org/drawingml/2006/main">
                  <a:graphicData uri="http://schemas.microsoft.com/office/word/2010/wordprocessingShape">
                    <wps:wsp>
                      <wps:cNvSpPr/>
                      <wps:spPr>
                        <a:xfrm flipH="1">
                          <a:off x="0" y="0"/>
                          <a:ext cx="456565" cy="409575"/>
                        </a:xfrm>
                        <a:prstGeom prst="rect">
                          <a:avLst/>
                        </a:prstGeom>
                        <a:solidFill>
                          <a:srgbClr val="509D2F"/>
                        </a:solidFill>
                        <a:ln w="9525" cap="flat" cmpd="sng">
                          <a:solidFill>
                            <a:srgbClr val="000000"/>
                          </a:solidFill>
                          <a:prstDash val="solid"/>
                          <a:round/>
                          <a:headEnd type="none" w="sm" len="sm"/>
                          <a:tailEnd type="none" w="sm" len="sm"/>
                        </a:ln>
                      </wps:spPr>
                      <wps:txbx>
                        <w:txbxContent>
                          <w:p w14:paraId="384E429B" w14:textId="5D02F763" w:rsidR="00206361" w:rsidRPr="00E312BC" w:rsidRDefault="003F7F94" w:rsidP="00206361">
                            <w:pPr>
                              <w:jc w:val="center"/>
                              <w:textDirection w:val="btLr"/>
                              <w:rPr>
                                <w:b/>
                                <w:color w:val="FFFFFF"/>
                                <w:sz w:val="24"/>
                                <w:lang w:val="es-MX"/>
                              </w:rPr>
                            </w:pPr>
                            <w:r>
                              <w:rPr>
                                <w:b/>
                                <w:color w:val="FFFFFF"/>
                                <w:sz w:val="24"/>
                                <w:lang w:val="es-MX"/>
                              </w:rPr>
                              <w:t>09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5E45D3" id="Rectángulo 6" o:spid="_x0000_s1027" style="position:absolute;left:0;text-align:left;margin-left:11pt;margin-top:219.1pt;width:35.95pt;height:32.25pt;flip:x;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" fillcolor="#509d2f">
                <v:stroke startarrowwidth="narrow" startarrowlength="short" endarrowwidth="narrow" endarrowlength="short" joinstyle="round"/>
                <v:textbox inset="2.53958mm,1.2694mm,2.53958mm,1.2694mm">
                  <w:txbxContent>
                    <w:p w14:paraId="384E429B" w14:textId="5D02F763" w:rsidR="00206361" w:rsidRPr="00E312BC" w:rsidRDefault="003F7F94" w:rsidP="00206361">
                      <w:pPr>
                        <w:jc w:val="center"/>
                        <w:textDirection w:val="btLr"/>
                        <w:rPr>
                          <w:b/>
                          <w:color w:val="FFFFFF"/>
                          <w:sz w:val="24"/>
                          <w:lang w:val="es-MX"/>
                        </w:rPr>
                      </w:pPr>
                      <w:r>
                        <w:rPr>
                          <w:b/>
                          <w:color w:val="FFFFFF"/>
                          <w:sz w:val="24"/>
                          <w:lang w:val="es-MX"/>
                        </w:rPr>
                        <w:t>09</w:t>
                      </w:r>
                    </w:p>
                  </w:txbxContent>
                </v:textbox>
                <w10:wrap anchorx="margin"/>
              </v:rect>
            </w:pict>
          </mc:Fallback>
        </mc:AlternateContent>
      </w:r>
      <w:r w:rsidR="00A13118">
        <w:rPr>
          <w:noProof/>
          <w:lang w:val="en-US" w:eastAsia="en-US"/>
        </w:rPr>
        <mc:AlternateContent>
          <mc:Choice Requires="wps">
            <w:drawing>
              <wp:anchor distT="0" distB="0" distL="114300" distR="114300" simplePos="0" relativeHeight="251715584" behindDoc="0" locked="0" layoutInCell="1" hidden="0" allowOverlap="1" wp14:anchorId="5828E022" wp14:editId="332B4A66">
                <wp:simplePos x="0" y="0"/>
                <wp:positionH relativeFrom="rightMargin">
                  <wp:posOffset>234950</wp:posOffset>
                </wp:positionH>
                <wp:positionV relativeFrom="paragraph">
                  <wp:posOffset>3970655</wp:posOffset>
                </wp:positionV>
                <wp:extent cx="447040" cy="419735"/>
                <wp:effectExtent l="0" t="0" r="10160" b="18415"/>
                <wp:wrapNone/>
                <wp:docPr id="30" name="Rectángulo 30"/>
                <wp:cNvGraphicFramePr/>
                <a:graphic xmlns:a="http://schemas.openxmlformats.org/drawingml/2006/main">
                  <a:graphicData uri="http://schemas.microsoft.com/office/word/2010/wordprocessingShape">
                    <wps:wsp>
                      <wps:cNvSpPr/>
                      <wps:spPr>
                        <a:xfrm flipH="1">
                          <a:off x="0" y="0"/>
                          <a:ext cx="447040" cy="419735"/>
                        </a:xfrm>
                        <a:prstGeom prst="rect">
                          <a:avLst/>
                        </a:prstGeom>
                        <a:solidFill>
                          <a:srgbClr val="509D2F"/>
                        </a:solidFill>
                        <a:ln w="9525" cap="flat" cmpd="sng">
                          <a:solidFill>
                            <a:srgbClr val="000000"/>
                          </a:solidFill>
                          <a:prstDash val="solid"/>
                          <a:round/>
                          <a:headEnd type="none" w="sm" len="sm"/>
                          <a:tailEnd type="none" w="sm" len="sm"/>
                        </a:ln>
                      </wps:spPr>
                      <wps:txbx>
                        <w:txbxContent>
                          <w:p w14:paraId="0AF00963" w14:textId="77777777" w:rsidR="00BF1F97" w:rsidRPr="00E312BC" w:rsidRDefault="00BF1F97" w:rsidP="00BF1F97">
                            <w:pPr>
                              <w:jc w:val="center"/>
                              <w:textDirection w:val="btLr"/>
                              <w:rPr>
                                <w:b/>
                                <w:color w:val="FFFFFF"/>
                                <w:sz w:val="24"/>
                                <w:lang w:val="es-MX"/>
                              </w:rPr>
                            </w:pPr>
                            <w:r>
                              <w:rPr>
                                <w:b/>
                                <w:color w:val="FFFFFF"/>
                                <w:sz w:val="24"/>
                                <w:lang w:val="es-MX"/>
                              </w:rPr>
                              <w:t>xx</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9E6C11" id="Rectángulo 30" o:spid="_x0000_s1028" style="position:absolute;left:0;text-align:left;margin-left:18.5pt;margin-top:312.65pt;width:35.2pt;height:33.05pt;flip:x;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" fillcolor="#509d2f">
                <v:stroke startarrowwidth="narrow" startarrowlength="short" endarrowwidth="narrow" endarrowlength="short" joinstyle="round"/>
                <v:textbox inset="2.53958mm,1.2694mm,2.53958mm,1.2694mm">
                  <w:txbxContent>
                    <w:p w:rsidR="00BF1F97" w:rsidRPr="00E312BC" w:rsidRDefault="00BF1F97" w:rsidP="00BF1F97">
                      <w:pPr>
                        <w:jc w:val="center"/>
                        <w:textDirection w:val="btLr"/>
                        <w:rPr>
                          <w:b/>
                          <w:color w:val="FFFFFF"/>
                          <w:sz w:val="24"/>
                          <w:lang w:val="es-MX"/>
                        </w:rPr>
                      </w:pPr>
                      <w:proofErr w:type="spellStart"/>
                      <w:r>
                        <w:rPr>
                          <w:b/>
                          <w:color w:val="FFFFFF"/>
                          <w:sz w:val="24"/>
                          <w:lang w:val="es-MX"/>
                        </w:rPr>
                        <w:t>xx</w:t>
                      </w:r>
                      <w:proofErr w:type="spellEnd"/>
                    </w:p>
                  </w:txbxContent>
                </v:textbox>
                <w10:wrap anchorx="margin"/>
              </v:rect>
            </w:pict>
          </mc:Fallback>
        </mc:AlternateContent>
      </w:r>
      <w:r w:rsidR="00A63B73" w:rsidRPr="00A63B73">
        <w:rPr>
          <w:szCs w:val="20"/>
          <w:lang w:val="en-US"/>
        </w:rPr>
        <w:t>A significant proportion of this morbidity and mortality could be prevented by targeting interventions for people at high risk of CVD, both for those with established disease and for those at high risk of developing the disease</w:t>
      </w:r>
      <w:r w:rsidR="00477C49" w:rsidRPr="00477C49">
        <w:rPr>
          <w:szCs w:val="20"/>
          <w:vertAlign w:val="superscript"/>
          <w:lang w:val="en-US"/>
        </w:rPr>
        <w:t>12,13,14</w:t>
      </w:r>
      <w:r w:rsidR="00A63B73" w:rsidRPr="00A63B73">
        <w:rPr>
          <w:szCs w:val="20"/>
          <w:lang w:val="en-US"/>
        </w:rPr>
        <w:t>. One strategy to classify and treat patients at risk is to use carotid TPA measured by ultrasound, which reclassifies more patients as high-risk and is very effective in decreasing cardiovascular events in a high-risk cohort through prevention</w:t>
      </w:r>
      <w:r w:rsidR="00477C49" w:rsidRPr="00477C49">
        <w:rPr>
          <w:szCs w:val="20"/>
          <w:vertAlign w:val="superscript"/>
          <w:lang w:val="en-US"/>
        </w:rPr>
        <w:t>15</w:t>
      </w:r>
      <w:r w:rsidR="00A63B73" w:rsidRPr="00A63B73">
        <w:rPr>
          <w:szCs w:val="20"/>
          <w:lang w:val="en-US"/>
        </w:rPr>
        <w:t>. TPA is much more predictive of risk than carotid intima-media thickness (CIMT) and as predictive as the Coronary Calcium Score</w:t>
      </w:r>
      <w:r w:rsidR="00477C49" w:rsidRPr="00477C49">
        <w:rPr>
          <w:szCs w:val="20"/>
          <w:vertAlign w:val="superscript"/>
          <w:lang w:val="en-US"/>
        </w:rPr>
        <w:t>16</w:t>
      </w:r>
      <w:r w:rsidR="00A63B73" w:rsidRPr="00A63B73">
        <w:rPr>
          <w:szCs w:val="20"/>
          <w:lang w:val="en-US"/>
        </w:rPr>
        <w:t>. Furthermore, TPA may progress or regress within 3 months, providing the possibility to assess and adjust preventive therapy in clinically meaningful time frames</w:t>
      </w:r>
      <w:r w:rsidR="004B3DC8" w:rsidRPr="004B3DC8">
        <w:rPr>
          <w:szCs w:val="20"/>
          <w:vertAlign w:val="superscript"/>
          <w:lang w:val="en-US"/>
        </w:rPr>
        <w:t>17</w:t>
      </w:r>
      <w:r w:rsidR="00A63B73" w:rsidRPr="00A63B73">
        <w:rPr>
          <w:szCs w:val="20"/>
          <w:lang w:val="en-US"/>
        </w:rPr>
        <w:t xml:space="preserve">. In 2002, Spence et al. found that </w:t>
      </w:r>
      <w:r w:rsidR="00A63B73" w:rsidRPr="00A63B73">
        <w:rPr>
          <w:szCs w:val="20"/>
          <w:lang w:val="en-US"/>
        </w:rPr>
        <w:lastRenderedPageBreak/>
        <w:t>patients whose TPA progressed by 0.05 cm2 in the first year of follow-up were 2.1 times (95% CI, 1.2 to 3.6; p=0.005) more likely to have had a stroke, myocardial infarction, or vascular death over 5 years, than patients who had regression or no change in plaque area</w:t>
      </w:r>
      <w:r w:rsidR="004B3DC8" w:rsidRPr="004B3DC8">
        <w:rPr>
          <w:szCs w:val="20"/>
          <w:vertAlign w:val="superscript"/>
          <w:lang w:val="en-US"/>
        </w:rPr>
        <w:t>18</w:t>
      </w:r>
      <w:r w:rsidR="00A63B73" w:rsidRPr="00A63B73">
        <w:rPr>
          <w:szCs w:val="20"/>
          <w:lang w:val="en-US"/>
        </w:rPr>
        <w:t>. In high-risk patients with asymptomatic carotid stenosis in Canada, “treating arteries” as opposed to treating cardiovascular risk factors was associated with a &gt; 80% reduction in the two-year risk of stroke and myocardial infarction15.  Among moderate-risk patients aged&gt; 65 years attending prevention clinics in Argentina between 2011 and 2015, “treating arteries” was associated with a decline in the annual risk of CVD events from 5.8% to 2.35%</w:t>
      </w:r>
      <w:r w:rsidR="004B3DC8" w:rsidRPr="004B3DC8">
        <w:rPr>
          <w:szCs w:val="20"/>
          <w:vertAlign w:val="superscript"/>
          <w:lang w:val="en-US"/>
        </w:rPr>
        <w:t>19</w:t>
      </w:r>
      <w:r w:rsidR="00A63B73" w:rsidRPr="00A63B73">
        <w:rPr>
          <w:szCs w:val="20"/>
          <w:lang w:val="en-US"/>
        </w:rPr>
        <w:t>. We hypothesized that blood pressure and serum LDL cholesterol control at target values (recommended in current clinical guidelines) is not sufficient to reduce the progression of atherosclerosis in patients with high cardiovascular (CV) risk.</w:t>
      </w:r>
    </w:p>
    <w:p w14:paraId="4DE938A1" w14:textId="77777777" w:rsidR="00A63B73" w:rsidRDefault="004B3DC8" w:rsidP="004B3DC8">
      <w:pPr>
        <w:pStyle w:val="Ttulo1"/>
        <w:rPr>
          <w:lang w:val="en-US"/>
        </w:rPr>
      </w:pPr>
      <w:r w:rsidRPr="004B3DC8">
        <w:rPr>
          <w:lang w:val="en-US"/>
        </w:rPr>
        <w:t>Objectives</w:t>
      </w:r>
    </w:p>
    <w:p w14:paraId="072E5840" w14:textId="77777777" w:rsidR="004B3DC8" w:rsidRPr="004B3DC8" w:rsidRDefault="004B3DC8" w:rsidP="004B3DC8">
      <w:pPr>
        <w:rPr>
          <w:lang w:val="en-US"/>
        </w:rPr>
      </w:pPr>
      <w:r w:rsidRPr="004B3DC8">
        <w:rPr>
          <w:lang w:val="en-US"/>
        </w:rPr>
        <w:t xml:space="preserve">1. Evaluate the progression of TPA in high-risk patients whose blood pressure and serum LDL cholesterol are controlled. </w:t>
      </w:r>
    </w:p>
    <w:p w14:paraId="17FC47F9" w14:textId="77777777" w:rsidR="004B3DC8" w:rsidRDefault="004B3DC8" w:rsidP="004B3DC8">
      <w:pPr>
        <w:rPr>
          <w:lang w:val="en-US"/>
        </w:rPr>
      </w:pPr>
      <w:r w:rsidRPr="004B3DC8">
        <w:rPr>
          <w:lang w:val="en-US"/>
        </w:rPr>
        <w:t xml:space="preserve">2. Determine if classical cardiovascular risk factors and time between TPA studies are associated with the progression of TPA. </w:t>
      </w:r>
    </w:p>
    <w:p w14:paraId="4461E230" w14:textId="77777777" w:rsidR="004B3DC8" w:rsidRDefault="004B3DC8" w:rsidP="004B3DC8">
      <w:pPr>
        <w:pStyle w:val="Ttulo1"/>
        <w:rPr>
          <w:lang w:val="en-US"/>
        </w:rPr>
      </w:pPr>
      <w:r w:rsidRPr="004B3DC8">
        <w:rPr>
          <w:lang w:val="en-US"/>
        </w:rPr>
        <w:t xml:space="preserve">Methods </w:t>
      </w:r>
    </w:p>
    <w:p w14:paraId="7A2F3742" w14:textId="77777777" w:rsidR="004B3DC8" w:rsidRPr="004B3DC8" w:rsidRDefault="004B3DC8" w:rsidP="004B3DC8">
      <w:pPr>
        <w:rPr>
          <w:lang w:val="en-US"/>
        </w:rPr>
      </w:pPr>
      <w:r w:rsidRPr="00FE7744">
        <w:rPr>
          <w:b/>
          <w:lang w:val="en-US"/>
        </w:rPr>
        <w:t>Study design and population:</w:t>
      </w:r>
      <w:r w:rsidRPr="004B3DC8">
        <w:rPr>
          <w:lang w:val="en-US"/>
        </w:rPr>
        <w:t xml:space="preserve"> The study population was composed of patients referred by physicians to a Light and Force and Railroad Unions Health Maintenance Organizations (Luz y Fuerza and Obra Social Ferroviaria), participating in an atherosclerosis prevention program (LifeQualityA) conducted by Blossom DMO Argentina. The program was initiated in 2008 and continues at present, with a total of 4531 participants, white Latin men represent 41.3%, mean+SD age (58+14 years), and is based in Buenos Aires and Cordoba, Argentina. The inclusion of a volunteer in the program started with the stratification of cardiometabolic risk by using the FRS based on body mass index (BMI</w:t>
      </w:r>
      <w:r w:rsidR="00607E7D" w:rsidRPr="004B3DC8">
        <w:rPr>
          <w:lang w:val="en-US"/>
        </w:rPr>
        <w:t>).</w:t>
      </w:r>
      <w:r w:rsidRPr="004B3DC8">
        <w:rPr>
          <w:lang w:val="en-US"/>
        </w:rPr>
        <w:t xml:space="preserve"> Those subjects with a 10-year risk score ≤ 6% were assigned to management by a General Practitioner (GP), while those with scores&gt; 6% were re-tested using the Framingham Post-test algorithm. After this stratification with the Framingham Post-test algorithm, subjects with scores &lt;20% were assigned to follow-up by GP while those with scores ≥ 20% were assigned to the cardiometabolic high-risk group as the High-Risk Control Service thereafter. This service </w:t>
      </w:r>
      <w:r w:rsidRPr="004B3DC8">
        <w:rPr>
          <w:lang w:val="en-US"/>
        </w:rPr>
        <w:lastRenderedPageBreak/>
        <w:t>consists of a multidisciplinary team of physicians, nutritionists, educators, gym trainers, psychologists, and health workers.</w:t>
      </w:r>
    </w:p>
    <w:p w14:paraId="0067C76E" w14:textId="77777777" w:rsidR="004B3DC8" w:rsidRDefault="004B3DC8" w:rsidP="004B3DC8">
      <w:pPr>
        <w:rPr>
          <w:lang w:val="en-US"/>
        </w:rPr>
      </w:pPr>
      <w:r w:rsidRPr="004B3DC8">
        <w:rPr>
          <w:lang w:val="en-US"/>
        </w:rPr>
        <w:t>Also, the follow-up subjects meeting the criteria of controlled risk factors were awarded free-of-charge medication. These criteria were: HbA1c &lt;7%, Total Cholesterol &lt;200 mg/dl, and BP &lt; 130/80 mmHg, among others19. The present study was carried out in participants enrolled</w:t>
      </w:r>
      <w:r>
        <w:rPr>
          <w:lang w:val="en-US"/>
        </w:rPr>
        <w:t xml:space="preserve"> </w:t>
      </w:r>
      <w:r w:rsidRPr="004B3DC8">
        <w:rPr>
          <w:lang w:val="en-US"/>
        </w:rPr>
        <w:t>between November 2017 and May 2021. In total there were 742 participants, of these 184 participants had more than one study and no cardiovascular events. After excluding Diabetic participants, current smokers, and participants with out-of-range blood pressure and cholesterol values for the analysis, we analyzed 57 participants with the inclusion criteria (Blood Pressure less than 130/80, Serum LDL Cholesterol less 100 mg/dl and Framingham score at 10 years more than 20%) (Figure 1).</w:t>
      </w:r>
    </w:p>
    <w:p w14:paraId="285A8288" w14:textId="77777777" w:rsidR="00E96975" w:rsidRDefault="00E96975" w:rsidP="004B3DC8">
      <w:pPr>
        <w:rPr>
          <w:lang w:val="en-US"/>
        </w:rPr>
      </w:pPr>
    </w:p>
    <w:p w14:paraId="334E5E65" w14:textId="77777777" w:rsidR="00E96975" w:rsidRDefault="00E96975" w:rsidP="004B3DC8">
      <w:pPr>
        <w:rPr>
          <w:lang w:val="en-US"/>
        </w:rPr>
      </w:pPr>
      <w:r w:rsidRPr="00E96975">
        <w:rPr>
          <w:noProof/>
          <w:lang w:val="en-US" w:eastAsia="en-US"/>
        </w:rPr>
        <w:drawing>
          <wp:inline distT="0" distB="0" distL="0" distR="0" wp14:anchorId="1ED200ED" wp14:editId="797A3DB7">
            <wp:extent cx="2470785" cy="169926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0785" cy="1699260"/>
                    </a:xfrm>
                    <a:prstGeom prst="rect">
                      <a:avLst/>
                    </a:prstGeom>
                  </pic:spPr>
                </pic:pic>
              </a:graphicData>
            </a:graphic>
          </wp:inline>
        </w:drawing>
      </w:r>
    </w:p>
    <w:p w14:paraId="60881963" w14:textId="77777777" w:rsidR="00D52D01" w:rsidRDefault="00D52D01" w:rsidP="00D52D01">
      <w:pPr>
        <w:pStyle w:val="LeyendaTabla"/>
        <w:jc w:val="left"/>
        <w:rPr>
          <w:lang w:val="en-US"/>
        </w:rPr>
      </w:pPr>
      <w:r w:rsidRPr="00D52D01">
        <w:rPr>
          <w:b/>
          <w:lang w:val="en-US"/>
        </w:rPr>
        <w:t>Figure 1.</w:t>
      </w:r>
      <w:r w:rsidRPr="00D52D01">
        <w:rPr>
          <w:lang w:val="en-US"/>
        </w:rPr>
        <w:t xml:space="preserve"> Block Diagram of the research</w:t>
      </w:r>
      <w:r w:rsidR="00B04FEC">
        <w:rPr>
          <w:lang w:val="en-US"/>
        </w:rPr>
        <w:t>.</w:t>
      </w:r>
    </w:p>
    <w:p w14:paraId="6042DCDB" w14:textId="77777777" w:rsidR="00B04FEC" w:rsidRPr="004B3DC8" w:rsidRDefault="00B04FEC" w:rsidP="00D52D01">
      <w:pPr>
        <w:pStyle w:val="LeyendaTabla"/>
        <w:jc w:val="left"/>
        <w:rPr>
          <w:lang w:val="en-US"/>
        </w:rPr>
      </w:pPr>
    </w:p>
    <w:p w14:paraId="001F9B00" w14:textId="77777777" w:rsidR="00731685" w:rsidRDefault="004B3DC8" w:rsidP="004B3DC8">
      <w:pPr>
        <w:rPr>
          <w:lang w:val="en-US"/>
        </w:rPr>
      </w:pPr>
      <w:r w:rsidRPr="004B3DC8">
        <w:rPr>
          <w:lang w:val="en-US"/>
        </w:rPr>
        <w:t>The protocol was approved by the Committee on Independent Institutional Ethics of the National University of Córdoba and the Rusculleda Foundation. Reader reliability was estimated by randomly assigning scans of 22 patients to interpretation by 2 different readers.</w:t>
      </w:r>
    </w:p>
    <w:p w14:paraId="5789EF85" w14:textId="77777777" w:rsidR="00FE7744" w:rsidRDefault="00206361" w:rsidP="004B3DC8">
      <w:pPr>
        <w:rPr>
          <w:bdr w:val="none" w:sz="0" w:space="0" w:color="auto" w:frame="1"/>
          <w:lang w:val="en-US"/>
        </w:rPr>
      </w:pPr>
      <w:r>
        <w:rPr>
          <w:noProof/>
          <w:lang w:val="en-US" w:eastAsia="en-US"/>
        </w:rPr>
        <mc:AlternateContent>
          <mc:Choice Requires="wps">
            <w:drawing>
              <wp:anchor distT="0" distB="0" distL="114300" distR="114300" simplePos="0" relativeHeight="251721728" behindDoc="0" locked="0" layoutInCell="1" hidden="0" allowOverlap="1" wp14:anchorId="619E8978" wp14:editId="1A0CA154">
                <wp:simplePos x="0" y="0"/>
                <wp:positionH relativeFrom="rightMargin">
                  <wp:posOffset>234950</wp:posOffset>
                </wp:positionH>
                <wp:positionV relativeFrom="paragraph">
                  <wp:posOffset>3019425</wp:posOffset>
                </wp:positionV>
                <wp:extent cx="447040" cy="410210"/>
                <wp:effectExtent l="0" t="0" r="10160" b="27940"/>
                <wp:wrapNone/>
                <wp:docPr id="7" name="Rectángulo 7"/>
                <wp:cNvGraphicFramePr/>
                <a:graphic xmlns:a="http://schemas.openxmlformats.org/drawingml/2006/main">
                  <a:graphicData uri="http://schemas.microsoft.com/office/word/2010/wordprocessingShape">
                    <wps:wsp>
                      <wps:cNvSpPr/>
                      <wps:spPr>
                        <a:xfrm flipH="1">
                          <a:off x="0" y="0"/>
                          <a:ext cx="447040" cy="410210"/>
                        </a:xfrm>
                        <a:prstGeom prst="rect">
                          <a:avLst/>
                        </a:prstGeom>
                        <a:solidFill>
                          <a:srgbClr val="509D2F"/>
                        </a:solidFill>
                        <a:ln w="9525" cap="flat" cmpd="sng">
                          <a:solidFill>
                            <a:srgbClr val="000000"/>
                          </a:solidFill>
                          <a:prstDash val="solid"/>
                          <a:round/>
                          <a:headEnd type="none" w="sm" len="sm"/>
                          <a:tailEnd type="none" w="sm" len="sm"/>
                        </a:ln>
                      </wps:spPr>
                      <wps:txbx>
                        <w:txbxContent>
                          <w:p w14:paraId="0FB8A968" w14:textId="6C67FEE7" w:rsidR="00206361" w:rsidRPr="00E312BC" w:rsidRDefault="003F7F94" w:rsidP="00206361">
                            <w:pPr>
                              <w:jc w:val="center"/>
                              <w:textDirection w:val="btLr"/>
                              <w:rPr>
                                <w:b/>
                                <w:color w:val="FFFFFF"/>
                                <w:sz w:val="24"/>
                                <w:lang w:val="es-MX"/>
                              </w:rPr>
                            </w:pPr>
                            <w:r>
                              <w:rPr>
                                <w:b/>
                                <w:color w:val="FFFFFF"/>
                                <w:sz w:val="24"/>
                                <w:lang w:val="es-MX"/>
                              </w:rPr>
                              <w:t>10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9E8978" id="Rectángulo 7" o:spid="_x0000_s1029" style="position:absolute;left:0;text-align:left;margin-left:18.5pt;margin-top:237.75pt;width:35.2pt;height:32.3pt;flip:x;z-index:251721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" fillcolor="#509d2f">
                <v:stroke startarrowwidth="narrow" startarrowlength="short" endarrowwidth="narrow" endarrowlength="short" joinstyle="round"/>
                <v:textbox inset="2.53958mm,1.2694mm,2.53958mm,1.2694mm">
                  <w:txbxContent>
                    <w:p w14:paraId="0FB8A968" w14:textId="6C67FEE7" w:rsidR="00206361" w:rsidRPr="00E312BC" w:rsidRDefault="003F7F94" w:rsidP="00206361">
                      <w:pPr>
                        <w:jc w:val="center"/>
                        <w:textDirection w:val="btLr"/>
                        <w:rPr>
                          <w:b/>
                          <w:color w:val="FFFFFF"/>
                          <w:sz w:val="24"/>
                          <w:lang w:val="es-MX"/>
                        </w:rPr>
                      </w:pPr>
                      <w:r>
                        <w:rPr>
                          <w:b/>
                          <w:color w:val="FFFFFF"/>
                          <w:sz w:val="24"/>
                          <w:lang w:val="es-MX"/>
                        </w:rPr>
                        <w:t>10</w:t>
                      </w:r>
                    </w:p>
                  </w:txbxContent>
                </v:textbox>
                <w10:wrap anchorx="margin"/>
              </v:rect>
            </w:pict>
          </mc:Fallback>
        </mc:AlternateContent>
      </w:r>
      <w:r w:rsidR="00FE7744" w:rsidRPr="00FE7744">
        <w:rPr>
          <w:b/>
          <w:bdr w:val="none" w:sz="0" w:space="0" w:color="auto" w:frame="1"/>
          <w:lang w:val="en-US"/>
        </w:rPr>
        <w:t>Inclusion and Exclusion criteria:</w:t>
      </w:r>
      <w:r w:rsidR="00FE7744" w:rsidRPr="00FE7744">
        <w:rPr>
          <w:bdr w:val="none" w:sz="0" w:space="0" w:color="auto" w:frame="1"/>
          <w:lang w:val="en-US"/>
        </w:rPr>
        <w:t xml:space="preserve"> For this analysis, we include participants over 40 years of age, with a risk of acute myocardial infarction greater than 20% at ten years based on TPA, participants (with or without antihypertensive medication or Hypertension) with blood pressure  &lt; 130 mmHg systolic and &lt; 80 mmHg diastolic based on blood pressure determination in clinical follow-up, ambulatory blood pressure monitoring or home blood pressure monitoring, LDL-C &lt;100 mg/dl in at least two separate measurements  &gt;3 months apart, and written informed consent given. Excluded were current smokers, participants who had Type I or type II diabetes, a history of previous cardiovascular events, a history of neoplasm, kidney disease (eGFR less than 60 ml/min), endocrinological disease, rheumatological disease, immunological </w:t>
      </w:r>
      <w:r w:rsidR="00FE7744" w:rsidRPr="00FE7744">
        <w:rPr>
          <w:bdr w:val="none" w:sz="0" w:space="0" w:color="auto" w:frame="1"/>
          <w:lang w:val="en-US"/>
        </w:rPr>
        <w:lastRenderedPageBreak/>
        <w:t>disease, those medicated with immunosuppressants, and those with a history of drug and/or alcohol abuse.</w:t>
      </w:r>
    </w:p>
    <w:p w14:paraId="61B694B6" w14:textId="77777777" w:rsidR="00FE7744" w:rsidRDefault="00FE7744" w:rsidP="004B3DC8">
      <w:pPr>
        <w:rPr>
          <w:bdr w:val="none" w:sz="0" w:space="0" w:color="auto" w:frame="1"/>
          <w:lang w:val="en-US"/>
        </w:rPr>
      </w:pPr>
      <w:r w:rsidRPr="00FE7744">
        <w:rPr>
          <w:b/>
          <w:bdr w:val="none" w:sz="0" w:space="0" w:color="auto" w:frame="1"/>
          <w:lang w:val="en-US"/>
        </w:rPr>
        <w:t>TPA determination:</w:t>
      </w:r>
      <w:r w:rsidRPr="00FE7744">
        <w:rPr>
          <w:bdr w:val="none" w:sz="0" w:space="0" w:color="auto" w:frame="1"/>
          <w:lang w:val="en-US"/>
        </w:rPr>
        <w:t xml:space="preserve"> Measurement of TPA was performed with a high-resolution ultrasound machine (Ultrasound system Mindray M5, Shenzhen, P. R. China) and a linear probe between 5 to 10 MHz. It was performed by a single operator, informed of the participant’s sex, but blind to the participant’s history of vascular disease and risk factors (blood pressure, serum lipid levels, glycemia, and HbA1c). TPA was measured as previously described</w:t>
      </w:r>
      <w:r w:rsidRPr="008A28E4">
        <w:rPr>
          <w:bdr w:val="none" w:sz="0" w:space="0" w:color="auto" w:frame="1"/>
          <w:vertAlign w:val="superscript"/>
          <w:lang w:val="en-US"/>
        </w:rPr>
        <w:t>19</w:t>
      </w:r>
      <w:r w:rsidRPr="00FE7744">
        <w:rPr>
          <w:bdr w:val="none" w:sz="0" w:space="0" w:color="auto" w:frame="1"/>
          <w:lang w:val="en-US"/>
        </w:rPr>
        <w:t>. “Plaque was defined as a local thickening of the intima &gt;1 mm in thickness. Measurements were made in magnified longitudinal views of each plaque seen in the right and left common, internal, and external carotid arteries. The plane in which the measurement of each plaque was made was chosen by panning around the artery until the view showing the largest extent of that plaque was obtained. The image was then frozen and magnified, and the plaque was measured by tracing around the perimeter with a cursor on the screen. The microprocessor in the scanner then displayed the cross-sectional area of the plaque. The operator then moved on to the next</w:t>
      </w:r>
      <w:r>
        <w:rPr>
          <w:bdr w:val="none" w:sz="0" w:space="0" w:color="auto" w:frame="1"/>
          <w:lang w:val="en-US"/>
        </w:rPr>
        <w:t xml:space="preserve"> </w:t>
      </w:r>
      <w:r w:rsidRPr="00FE7744">
        <w:rPr>
          <w:bdr w:val="none" w:sz="0" w:space="0" w:color="auto" w:frame="1"/>
          <w:lang w:val="en-US"/>
        </w:rPr>
        <w:t>plaque and repeated the process until all visible plaques were measured. The sum of the cross-sectional areas of all plaques seen between the clavicle and the angle of the jaw was taken as total plaque area</w:t>
      </w:r>
      <w:r w:rsidRPr="00FE7744">
        <w:rPr>
          <w:bdr w:val="none" w:sz="0" w:space="0" w:color="auto" w:frame="1"/>
          <w:vertAlign w:val="superscript"/>
          <w:lang w:val="en-US"/>
        </w:rPr>
        <w:t>18</w:t>
      </w:r>
      <w:r w:rsidRPr="00FE7744">
        <w:rPr>
          <w:bdr w:val="none" w:sz="0" w:space="0" w:color="auto" w:frame="1"/>
          <w:lang w:val="en-US"/>
        </w:rPr>
        <w:t>.</w:t>
      </w:r>
    </w:p>
    <w:p w14:paraId="3473F8B6" w14:textId="77777777" w:rsidR="00FE7744" w:rsidRDefault="00FE7744" w:rsidP="004B3DC8">
      <w:pPr>
        <w:rPr>
          <w:bdr w:val="none" w:sz="0" w:space="0" w:color="auto" w:frame="1"/>
          <w:lang w:val="en-US"/>
        </w:rPr>
      </w:pPr>
    </w:p>
    <w:p w14:paraId="60193BDA" w14:textId="77777777" w:rsidR="00D232AC" w:rsidRDefault="00D232AC" w:rsidP="004B3DC8">
      <w:pPr>
        <w:rPr>
          <w:bdr w:val="none" w:sz="0" w:space="0" w:color="auto" w:frame="1"/>
          <w:lang w:val="en-US"/>
        </w:rPr>
      </w:pPr>
      <w:r w:rsidRPr="00D232AC">
        <w:rPr>
          <w:b/>
          <w:bdr w:val="none" w:sz="0" w:space="0" w:color="auto" w:frame="1"/>
          <w:lang w:val="en-US"/>
        </w:rPr>
        <w:t>Hypertensive patients:</w:t>
      </w:r>
      <w:r w:rsidRPr="00D232AC">
        <w:rPr>
          <w:bdr w:val="none" w:sz="0" w:space="0" w:color="auto" w:frame="1"/>
          <w:lang w:val="en-US"/>
        </w:rPr>
        <w:t xml:space="preserve"> Patients with a previous diagnosis of hypertension and/or taking antihypertensive medication.</w:t>
      </w:r>
    </w:p>
    <w:p w14:paraId="4319FCF3" w14:textId="77777777" w:rsidR="00D232AC" w:rsidRPr="00D232AC" w:rsidRDefault="00D232AC" w:rsidP="00D232AC">
      <w:pPr>
        <w:rPr>
          <w:bdr w:val="none" w:sz="0" w:space="0" w:color="auto" w:frame="1"/>
          <w:lang w:val="en-US"/>
        </w:rPr>
      </w:pPr>
    </w:p>
    <w:p w14:paraId="5709DF8D" w14:textId="77777777" w:rsidR="00D232AC" w:rsidRDefault="00D232AC" w:rsidP="00D232AC">
      <w:pPr>
        <w:rPr>
          <w:bdr w:val="none" w:sz="0" w:space="0" w:color="auto" w:frame="1"/>
          <w:lang w:val="en-US"/>
        </w:rPr>
      </w:pPr>
      <w:r w:rsidRPr="00D232AC">
        <w:rPr>
          <w:b/>
          <w:bdr w:val="none" w:sz="0" w:space="0" w:color="auto" w:frame="1"/>
          <w:lang w:val="en-US"/>
        </w:rPr>
        <w:t>Hypercholesterolemic patients:</w:t>
      </w:r>
      <w:r w:rsidRPr="00D232AC">
        <w:rPr>
          <w:bdr w:val="none" w:sz="0" w:space="0" w:color="auto" w:frame="1"/>
          <w:lang w:val="en-US"/>
        </w:rPr>
        <w:t xml:space="preserve"> Patients with a previous diagnosis of hypercholesterolemia and/or medication to treat dyslipidemia.</w:t>
      </w:r>
    </w:p>
    <w:p w14:paraId="30D205EE" w14:textId="77777777" w:rsidR="00D232AC" w:rsidRPr="009C1ACB" w:rsidRDefault="00D232AC" w:rsidP="00D232AC">
      <w:pPr>
        <w:rPr>
          <w:bdr w:val="none" w:sz="0" w:space="0" w:color="auto" w:frame="1"/>
          <w:lang w:val="en-US"/>
        </w:rPr>
      </w:pPr>
    </w:p>
    <w:p w14:paraId="043A4FE9" w14:textId="77777777" w:rsidR="00731685" w:rsidRPr="009C1ACB" w:rsidRDefault="00D232AC" w:rsidP="00E33A69">
      <w:pPr>
        <w:rPr>
          <w:bdr w:val="none" w:sz="0" w:space="0" w:color="auto" w:frame="1"/>
          <w:lang w:val="en-US"/>
        </w:rPr>
      </w:pPr>
      <w:r w:rsidRPr="00D232AC">
        <w:rPr>
          <w:b/>
          <w:bdr w:val="none" w:sz="0" w:space="0" w:color="auto" w:frame="1"/>
          <w:lang w:val="en-US"/>
        </w:rPr>
        <w:t>Blood pressure determination:</w:t>
      </w:r>
      <w:r w:rsidRPr="00D232AC">
        <w:rPr>
          <w:bdr w:val="none" w:sz="0" w:space="0" w:color="auto" w:frame="1"/>
          <w:lang w:val="en-US"/>
        </w:rPr>
        <w:t xml:space="preserve"> Blood pressure was taken as the mean of three measurements performed on the left arm in the sitting position after five minutes of rest (OMRON Hem 705 sphygmomanometer, Vermont Hills, IL, USA).</w:t>
      </w:r>
    </w:p>
    <w:p w14:paraId="4C1845F5" w14:textId="77777777" w:rsidR="00731685" w:rsidRDefault="00731685" w:rsidP="00E33A69">
      <w:pPr>
        <w:rPr>
          <w:bdr w:val="none" w:sz="0" w:space="0" w:color="auto" w:frame="1"/>
          <w:lang w:val="en-US"/>
        </w:rPr>
      </w:pPr>
    </w:p>
    <w:p w14:paraId="5A409734" w14:textId="77777777" w:rsidR="00D232AC" w:rsidRPr="009C1ACB" w:rsidRDefault="00D232AC" w:rsidP="00E33A69">
      <w:pPr>
        <w:rPr>
          <w:bdr w:val="none" w:sz="0" w:space="0" w:color="auto" w:frame="1"/>
          <w:lang w:val="en-US"/>
        </w:rPr>
      </w:pPr>
      <w:r w:rsidRPr="00D232AC">
        <w:rPr>
          <w:b/>
          <w:bdr w:val="none" w:sz="0" w:space="0" w:color="auto" w:frame="1"/>
          <w:lang w:val="en-US"/>
        </w:rPr>
        <w:t>Serum cholesterol and triglycerides determination:</w:t>
      </w:r>
      <w:r w:rsidRPr="00D232AC">
        <w:rPr>
          <w:bdr w:val="none" w:sz="0" w:space="0" w:color="auto" w:frame="1"/>
          <w:lang w:val="en-US"/>
        </w:rPr>
        <w:t xml:space="preserve"> Blood lipids were measured from whole blood samples using routine methods in a central laboratory after a 12-hour fast (LACE Laboratory, Córdoba, ARG).</w:t>
      </w:r>
    </w:p>
    <w:p w14:paraId="7AF57F80" w14:textId="77777777" w:rsidR="00CC54A9" w:rsidRPr="00FE7744" w:rsidRDefault="00CC54A9" w:rsidP="00E33A69">
      <w:pPr>
        <w:rPr>
          <w:bdr w:val="none" w:sz="0" w:space="0" w:color="auto" w:frame="1"/>
          <w:lang w:val="en-US"/>
        </w:rPr>
      </w:pPr>
    </w:p>
    <w:p w14:paraId="37295AFF" w14:textId="77777777" w:rsidR="00CC54A9" w:rsidRDefault="00D232AC" w:rsidP="00E33A69">
      <w:pPr>
        <w:rPr>
          <w:bdr w:val="none" w:sz="0" w:space="0" w:color="auto" w:frame="1"/>
          <w:lang w:val="en-US"/>
        </w:rPr>
      </w:pPr>
      <w:r w:rsidRPr="00D232AC">
        <w:rPr>
          <w:b/>
          <w:bdr w:val="none" w:sz="0" w:space="0" w:color="auto" w:frame="1"/>
          <w:lang w:val="en-US"/>
        </w:rPr>
        <w:t>Follow-up:</w:t>
      </w:r>
      <w:r w:rsidRPr="00D232AC">
        <w:rPr>
          <w:bdr w:val="none" w:sz="0" w:space="0" w:color="auto" w:frame="1"/>
          <w:lang w:val="en-US"/>
        </w:rPr>
        <w:t xml:space="preserve"> Carotid TPA determinations were made at baseline and at least one year later, with three additional visits made during this interval for measuring vital signs and laboratory results.   All patients were treated according to established </w:t>
      </w:r>
      <w:r w:rsidRPr="00D232AC">
        <w:rPr>
          <w:bdr w:val="none" w:sz="0" w:space="0" w:color="auto" w:frame="1"/>
          <w:lang w:val="en-US"/>
        </w:rPr>
        <w:lastRenderedPageBreak/>
        <w:t>clinical guidelines</w:t>
      </w:r>
      <w:r w:rsidRPr="00D232AC">
        <w:rPr>
          <w:bdr w:val="none" w:sz="0" w:space="0" w:color="auto" w:frame="1"/>
          <w:vertAlign w:val="superscript"/>
          <w:lang w:val="en-US"/>
        </w:rPr>
        <w:t>21,22,23,24,2</w:t>
      </w:r>
      <w:r>
        <w:rPr>
          <w:bdr w:val="none" w:sz="0" w:space="0" w:color="auto" w:frame="1"/>
          <w:vertAlign w:val="superscript"/>
          <w:lang w:val="en-US"/>
        </w:rPr>
        <w:t>5</w:t>
      </w:r>
      <w:r w:rsidRPr="00D232AC">
        <w:rPr>
          <w:bdr w:val="none" w:sz="0" w:space="0" w:color="auto" w:frame="1"/>
          <w:lang w:val="en-US"/>
        </w:rPr>
        <w:t>, but focusing on TPA evolution criteria. Plaque area regression was defined as a decrease of ≥5 mm</w:t>
      </w:r>
      <w:r w:rsidRPr="008E6328">
        <w:rPr>
          <w:bdr w:val="none" w:sz="0" w:space="0" w:color="auto" w:frame="1"/>
          <w:vertAlign w:val="superscript"/>
          <w:lang w:val="en-US"/>
        </w:rPr>
        <w:t>2</w:t>
      </w:r>
      <w:r w:rsidRPr="00D232AC">
        <w:rPr>
          <w:bdr w:val="none" w:sz="0" w:space="0" w:color="auto" w:frame="1"/>
          <w:lang w:val="en-US"/>
        </w:rPr>
        <w:t xml:space="preserve"> from baseline; progression was defined as an increase of ≥5 mm2 from baseline; and stability was defined as either an increase or decrease of &lt; 5 mm2, based on a previous study</w:t>
      </w:r>
      <w:r w:rsidRPr="008E6328">
        <w:rPr>
          <w:bdr w:val="none" w:sz="0" w:space="0" w:color="auto" w:frame="1"/>
          <w:vertAlign w:val="superscript"/>
          <w:lang w:val="en-US"/>
        </w:rPr>
        <w:t>18</w:t>
      </w:r>
      <w:r w:rsidRPr="00D232AC">
        <w:rPr>
          <w:bdr w:val="none" w:sz="0" w:space="0" w:color="auto" w:frame="1"/>
          <w:lang w:val="en-US"/>
        </w:rPr>
        <w:t>. We divided the patients into two groups:  progression vs. non-progression if the plaque regressed or was stable.</w:t>
      </w:r>
    </w:p>
    <w:p w14:paraId="4894A81A" w14:textId="77777777" w:rsidR="00C51F85" w:rsidRDefault="00D232AC" w:rsidP="00C51F85">
      <w:pPr>
        <w:pStyle w:val="Subseccin"/>
        <w:rPr>
          <w:bdr w:val="none" w:sz="0" w:space="0" w:color="auto" w:frame="1"/>
          <w:lang w:val="en-US"/>
        </w:rPr>
      </w:pPr>
      <w:r w:rsidRPr="00D52D01">
        <w:rPr>
          <w:lang w:val="en-US"/>
        </w:rPr>
        <w:t>Statistical Analysis</w:t>
      </w:r>
    </w:p>
    <w:p w14:paraId="0A01C185" w14:textId="77777777" w:rsidR="00D232AC" w:rsidRDefault="00D232AC" w:rsidP="00E33A69">
      <w:pPr>
        <w:rPr>
          <w:bdr w:val="none" w:sz="0" w:space="0" w:color="auto" w:frame="1"/>
          <w:lang w:val="en-US"/>
        </w:rPr>
      </w:pPr>
      <w:r w:rsidRPr="00D232AC">
        <w:rPr>
          <w:bdr w:val="none" w:sz="0" w:space="0" w:color="auto" w:frame="1"/>
          <w:lang w:val="en-US"/>
        </w:rPr>
        <w:t>Descriptive analyses include absolute frequencies, percentages, the mean and standard deviation for quantitative variables that follow a normal distribution, and median and interquartile range for variables with a non-normal distribution. Paired or unpaired t-tests were used, as required by the type of analysis appropriate to the hypothesis to be analyzed. Multiple regression analysis was used to determine the factors associated with progression status. Reliability was estimated for the entire sample. The accepted level of statistical significance for rejecting null hypotheses was p&lt;0.05.</w:t>
      </w:r>
    </w:p>
    <w:p w14:paraId="0069B727" w14:textId="77777777" w:rsidR="00C51F85" w:rsidRDefault="00C51F85" w:rsidP="00C51F85">
      <w:pPr>
        <w:pStyle w:val="Ttulo1"/>
        <w:rPr>
          <w:bdr w:val="none" w:sz="0" w:space="0" w:color="auto" w:frame="1"/>
          <w:lang w:val="en-US"/>
        </w:rPr>
      </w:pPr>
      <w:r w:rsidRPr="00C51F85">
        <w:rPr>
          <w:bdr w:val="none" w:sz="0" w:space="0" w:color="auto" w:frame="1"/>
          <w:lang w:val="en-US"/>
        </w:rPr>
        <w:t>Results</w:t>
      </w:r>
    </w:p>
    <w:p w14:paraId="72A4109B" w14:textId="77777777" w:rsidR="00E20B0A" w:rsidRDefault="00976398" w:rsidP="00976398">
      <w:pPr>
        <w:rPr>
          <w:bdr w:val="none" w:sz="0" w:space="0" w:color="auto" w:frame="1"/>
          <w:lang w:val="en-US"/>
        </w:rPr>
      </w:pPr>
      <w:r w:rsidRPr="00976398">
        <w:rPr>
          <w:bdr w:val="none" w:sz="0" w:space="0" w:color="auto" w:frame="1"/>
          <w:lang w:val="en-US"/>
        </w:rPr>
        <w:t xml:space="preserve">In total 742 participants were followed in this period, of which 57 people met the criteria for this study (mean age 71 + 8 years, 70% female, all white Latin). The average Risk post-TPA at 10 years for Acute Myocardial Infarction was very high (39.3 +18 %), the blood pressure (120.4/68.6 mmHg) and LDL-C (81 mg/dL) were at target levels during the year of study (Table 1 and 2). </w:t>
      </w:r>
    </w:p>
    <w:p w14:paraId="1B1E086B" w14:textId="77777777" w:rsidR="00DE5563" w:rsidRDefault="00DE5563" w:rsidP="00976398">
      <w:pPr>
        <w:rPr>
          <w:bdr w:val="none" w:sz="0" w:space="0" w:color="auto" w:frame="1"/>
          <w:lang w:val="en-US"/>
        </w:rPr>
      </w:pPr>
    </w:p>
    <w:p w14:paraId="6A35A757" w14:textId="77777777" w:rsidR="00E20B0A" w:rsidRDefault="00E20B0A" w:rsidP="00976398">
      <w:pPr>
        <w:rPr>
          <w:bdr w:val="none" w:sz="0" w:space="0" w:color="auto" w:frame="1"/>
          <w:lang w:val="en-US"/>
        </w:rPr>
      </w:pPr>
      <w:r w:rsidRPr="00E20B0A">
        <w:rPr>
          <w:noProof/>
          <w:bdr w:val="none" w:sz="0" w:space="0" w:color="auto" w:frame="1"/>
          <w:lang w:val="en-US" w:eastAsia="en-US"/>
        </w:rPr>
        <w:drawing>
          <wp:inline distT="0" distB="0" distL="0" distR="0" wp14:anchorId="7195DA18" wp14:editId="1CDCCEF8">
            <wp:extent cx="2555240" cy="25050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56617" cy="2506425"/>
                    </a:xfrm>
                    <a:prstGeom prst="rect">
                      <a:avLst/>
                    </a:prstGeom>
                  </pic:spPr>
                </pic:pic>
              </a:graphicData>
            </a:graphic>
          </wp:inline>
        </w:drawing>
      </w:r>
    </w:p>
    <w:p w14:paraId="2761B6D5" w14:textId="77777777" w:rsidR="00CC1B0F" w:rsidRDefault="00206361" w:rsidP="00976398">
      <w:pPr>
        <w:rPr>
          <w:bdr w:val="none" w:sz="0" w:space="0" w:color="auto" w:frame="1"/>
          <w:lang w:val="en-US"/>
        </w:rPr>
      </w:pPr>
      <w:r>
        <w:rPr>
          <w:noProof/>
          <w:lang w:val="en-US" w:eastAsia="en-US"/>
        </w:rPr>
        <mc:AlternateContent>
          <mc:Choice Requires="wps">
            <w:drawing>
              <wp:anchor distT="0" distB="0" distL="114300" distR="114300" simplePos="0" relativeHeight="251713536" behindDoc="0" locked="0" layoutInCell="1" hidden="0" allowOverlap="1" wp14:anchorId="5DFCCA7F" wp14:editId="45F15223">
                <wp:simplePos x="0" y="0"/>
                <wp:positionH relativeFrom="rightMargin">
                  <wp:posOffset>196850</wp:posOffset>
                </wp:positionH>
                <wp:positionV relativeFrom="paragraph">
                  <wp:posOffset>543560</wp:posOffset>
                </wp:positionV>
                <wp:extent cx="437515" cy="400685"/>
                <wp:effectExtent l="0" t="0" r="19685" b="18415"/>
                <wp:wrapNone/>
                <wp:docPr id="28" name="Rectángulo 28"/>
                <wp:cNvGraphicFramePr/>
                <a:graphic xmlns:a="http://schemas.openxmlformats.org/drawingml/2006/main">
                  <a:graphicData uri="http://schemas.microsoft.com/office/word/2010/wordprocessingShape">
                    <wps:wsp>
                      <wps:cNvSpPr/>
                      <wps:spPr>
                        <a:xfrm flipH="1">
                          <a:off x="0" y="0"/>
                          <a:ext cx="437515" cy="400685"/>
                        </a:xfrm>
                        <a:prstGeom prst="rect">
                          <a:avLst/>
                        </a:prstGeom>
                        <a:solidFill>
                          <a:srgbClr val="509D2F"/>
                        </a:solidFill>
                        <a:ln w="9525" cap="flat" cmpd="sng">
                          <a:solidFill>
                            <a:srgbClr val="000000"/>
                          </a:solidFill>
                          <a:prstDash val="solid"/>
                          <a:round/>
                          <a:headEnd type="none" w="sm" len="sm"/>
                          <a:tailEnd type="none" w="sm" len="sm"/>
                        </a:ln>
                      </wps:spPr>
                      <wps:txbx>
                        <w:txbxContent>
                          <w:p w14:paraId="6A84D0B1" w14:textId="6AAAC94C" w:rsidR="00BF1F97" w:rsidRPr="00E312BC" w:rsidRDefault="003F7F94" w:rsidP="00BF1F97">
                            <w:pPr>
                              <w:jc w:val="center"/>
                              <w:textDirection w:val="btLr"/>
                              <w:rPr>
                                <w:b/>
                                <w:color w:val="FFFFFF"/>
                                <w:sz w:val="24"/>
                                <w:lang w:val="es-MX"/>
                              </w:rPr>
                            </w:pPr>
                            <w:r>
                              <w:rPr>
                                <w:b/>
                                <w:color w:val="FFFFFF"/>
                                <w:sz w:val="24"/>
                                <w:lang w:val="es-MX"/>
                              </w:rPr>
                              <w:t>11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FCCA7F" id="Rectángulo 28" o:spid="_x0000_s1030" style="position:absolute;left:0;text-align:left;margin-left:15.5pt;margin-top:42.8pt;width:34.45pt;height:31.55pt;flip:x;z-index:25171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" fillcolor="#509d2f">
                <v:stroke startarrowwidth="narrow" startarrowlength="short" endarrowwidth="narrow" endarrowlength="short" joinstyle="round"/>
                <v:textbox inset="2.53958mm,1.2694mm,2.53958mm,1.2694mm">
                  <w:txbxContent>
                    <w:p w14:paraId="6A84D0B1" w14:textId="6AAAC94C" w:rsidR="00BF1F97" w:rsidRPr="00E312BC" w:rsidRDefault="003F7F94" w:rsidP="00BF1F97">
                      <w:pPr>
                        <w:jc w:val="center"/>
                        <w:textDirection w:val="btLr"/>
                        <w:rPr>
                          <w:b/>
                          <w:color w:val="FFFFFF"/>
                          <w:sz w:val="24"/>
                          <w:lang w:val="es-MX"/>
                        </w:rPr>
                      </w:pPr>
                      <w:r>
                        <w:rPr>
                          <w:b/>
                          <w:color w:val="FFFFFF"/>
                          <w:sz w:val="24"/>
                          <w:lang w:val="es-MX"/>
                        </w:rPr>
                        <w:t>11</w:t>
                      </w:r>
                    </w:p>
                  </w:txbxContent>
                </v:textbox>
                <w10:wrap anchorx="margin"/>
              </v:rect>
            </w:pict>
          </mc:Fallback>
        </mc:AlternateContent>
      </w:r>
    </w:p>
    <w:p w14:paraId="6AAFD761" w14:textId="77777777" w:rsidR="00E20B0A" w:rsidRDefault="00CC1B0F" w:rsidP="00976398">
      <w:pPr>
        <w:rPr>
          <w:bdr w:val="none" w:sz="0" w:space="0" w:color="auto" w:frame="1"/>
          <w:lang w:val="en-US"/>
        </w:rPr>
      </w:pPr>
      <w:r w:rsidRPr="00CC1B0F">
        <w:rPr>
          <w:noProof/>
          <w:bdr w:val="none" w:sz="0" w:space="0" w:color="auto" w:frame="1"/>
          <w:lang w:val="en-US" w:eastAsia="en-US"/>
        </w:rPr>
        <w:lastRenderedPageBreak/>
        <w:drawing>
          <wp:inline distT="0" distB="0" distL="0" distR="0" wp14:anchorId="55E8E70C" wp14:editId="62F4AB7F">
            <wp:extent cx="2470785" cy="1485265"/>
            <wp:effectExtent l="0" t="0" r="571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0785" cy="1485265"/>
                    </a:xfrm>
                    <a:prstGeom prst="rect">
                      <a:avLst/>
                    </a:prstGeom>
                  </pic:spPr>
                </pic:pic>
              </a:graphicData>
            </a:graphic>
          </wp:inline>
        </w:drawing>
      </w:r>
    </w:p>
    <w:p w14:paraId="76E68172" w14:textId="77777777" w:rsidR="00CC1B0F" w:rsidRDefault="00CC1B0F" w:rsidP="00976398">
      <w:pPr>
        <w:rPr>
          <w:bdr w:val="none" w:sz="0" w:space="0" w:color="auto" w:frame="1"/>
          <w:lang w:val="en-US"/>
        </w:rPr>
      </w:pPr>
    </w:p>
    <w:p w14:paraId="0400F11F" w14:textId="77777777" w:rsidR="00CC1B0F" w:rsidRDefault="00976398" w:rsidP="00976398">
      <w:pPr>
        <w:rPr>
          <w:bdr w:val="none" w:sz="0" w:space="0" w:color="auto" w:frame="1"/>
          <w:lang w:val="en-US"/>
        </w:rPr>
      </w:pPr>
      <w:r w:rsidRPr="00976398">
        <w:rPr>
          <w:bdr w:val="none" w:sz="0" w:space="0" w:color="auto" w:frame="1"/>
          <w:lang w:val="en-US"/>
        </w:rPr>
        <w:t xml:space="preserve">We found that 22 of 57 participants (38.6%) had plaque progression (Table 3). </w:t>
      </w:r>
    </w:p>
    <w:p w14:paraId="332EEBBC" w14:textId="77777777" w:rsidR="00CC1B0F" w:rsidRDefault="00CC1B0F" w:rsidP="00976398">
      <w:pPr>
        <w:rPr>
          <w:bdr w:val="none" w:sz="0" w:space="0" w:color="auto" w:frame="1"/>
          <w:lang w:val="en-US"/>
        </w:rPr>
      </w:pPr>
      <w:r w:rsidRPr="00CC1B0F">
        <w:rPr>
          <w:noProof/>
          <w:bdr w:val="none" w:sz="0" w:space="0" w:color="auto" w:frame="1"/>
          <w:lang w:val="en-US" w:eastAsia="en-US"/>
        </w:rPr>
        <w:drawing>
          <wp:inline distT="0" distB="0" distL="0" distR="0" wp14:anchorId="5F6415CE" wp14:editId="1DA5648B">
            <wp:extent cx="2470785" cy="434975"/>
            <wp:effectExtent l="0" t="0" r="5715"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0785" cy="434975"/>
                    </a:xfrm>
                    <a:prstGeom prst="rect">
                      <a:avLst/>
                    </a:prstGeom>
                  </pic:spPr>
                </pic:pic>
              </a:graphicData>
            </a:graphic>
          </wp:inline>
        </w:drawing>
      </w:r>
    </w:p>
    <w:p w14:paraId="2A164AFD" w14:textId="77777777" w:rsidR="00B04FEC" w:rsidRDefault="00976398" w:rsidP="00976398">
      <w:pPr>
        <w:rPr>
          <w:bdr w:val="none" w:sz="0" w:space="0" w:color="auto" w:frame="1"/>
          <w:lang w:val="en-US"/>
        </w:rPr>
      </w:pPr>
      <w:r w:rsidRPr="00976398">
        <w:rPr>
          <w:bdr w:val="none" w:sz="0" w:space="0" w:color="auto" w:frame="1"/>
          <w:lang w:val="en-US"/>
        </w:rPr>
        <w:t xml:space="preserve">A Multiple regression analysis was performed with the evolution of TPA as the response variable and age, sex, systolic blood pressure, LDL-C, total </w:t>
      </w:r>
      <w:proofErr w:type="spellStart"/>
      <w:proofErr w:type="gramStart"/>
      <w:r w:rsidRPr="00976398">
        <w:rPr>
          <w:bdr w:val="none" w:sz="0" w:space="0" w:color="auto" w:frame="1"/>
          <w:lang w:val="en-US"/>
        </w:rPr>
        <w:t>cholesterol,Triglyceride</w:t>
      </w:r>
      <w:proofErr w:type="spellEnd"/>
      <w:proofErr w:type="gramEnd"/>
      <w:r w:rsidRPr="00976398">
        <w:rPr>
          <w:bdr w:val="none" w:sz="0" w:space="0" w:color="auto" w:frame="1"/>
          <w:lang w:val="en-US"/>
        </w:rPr>
        <w:t>/HDL-C ratio, creatinine, and time between studies as dependent variables, and we did not find any significant difference in variables, comparing progression vs. non-progression (Table 4). To determine if the status of Hypertension or Hypercholesteremia were relevant to these findings, a logistic regression model was carried out, using the evolution (progression/</w:t>
      </w:r>
      <w:r w:rsidR="008E6328" w:rsidRPr="00976398">
        <w:rPr>
          <w:bdr w:val="none" w:sz="0" w:space="0" w:color="auto" w:frame="1"/>
          <w:lang w:val="en-US"/>
        </w:rPr>
        <w:t>non-progression</w:t>
      </w:r>
      <w:r w:rsidRPr="00976398">
        <w:rPr>
          <w:bdr w:val="none" w:sz="0" w:space="0" w:color="auto" w:frame="1"/>
          <w:lang w:val="en-US"/>
        </w:rPr>
        <w:t>) at the study as the dependent variable, and age, sex, systolic blood pressure, serum LDLc, triglycerides-HDL ratio, creatinine, time between studies, presence of hypertension, presence of hypercholesterolemia of the second study as independent variable and did not find an association with the occurrence of progression (Table 4).</w:t>
      </w:r>
    </w:p>
    <w:p w14:paraId="34478E86" w14:textId="77777777" w:rsidR="00B04FEC" w:rsidRDefault="00B04FEC" w:rsidP="00976398">
      <w:pPr>
        <w:rPr>
          <w:bdr w:val="none" w:sz="0" w:space="0" w:color="auto" w:frame="1"/>
          <w:lang w:val="en-US"/>
        </w:rPr>
      </w:pPr>
      <w:r w:rsidRPr="00B04FEC">
        <w:rPr>
          <w:noProof/>
          <w:bdr w:val="none" w:sz="0" w:space="0" w:color="auto" w:frame="1"/>
          <w:lang w:val="en-US" w:eastAsia="en-US"/>
        </w:rPr>
        <w:drawing>
          <wp:inline distT="0" distB="0" distL="0" distR="0" wp14:anchorId="6D0EE0C4" wp14:editId="6ED1A8D9">
            <wp:extent cx="2543783" cy="132334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57814" cy="1330639"/>
                    </a:xfrm>
                    <a:prstGeom prst="rect">
                      <a:avLst/>
                    </a:prstGeom>
                  </pic:spPr>
                </pic:pic>
              </a:graphicData>
            </a:graphic>
          </wp:inline>
        </w:drawing>
      </w:r>
    </w:p>
    <w:p w14:paraId="38337083" w14:textId="77777777" w:rsidR="00976398" w:rsidRDefault="00976398" w:rsidP="00976398">
      <w:pPr>
        <w:pStyle w:val="Ttulo1"/>
        <w:rPr>
          <w:bdr w:val="none" w:sz="0" w:space="0" w:color="auto" w:frame="1"/>
          <w:lang w:val="en-US"/>
        </w:rPr>
      </w:pPr>
      <w:r w:rsidRPr="00976398">
        <w:rPr>
          <w:bdr w:val="none" w:sz="0" w:space="0" w:color="auto" w:frame="1"/>
          <w:lang w:val="en-US"/>
        </w:rPr>
        <w:t>Discussion</w:t>
      </w:r>
    </w:p>
    <w:p w14:paraId="28703685" w14:textId="77777777" w:rsidR="00976398" w:rsidRDefault="00976398" w:rsidP="00976398">
      <w:pPr>
        <w:rPr>
          <w:lang w:val="en-US"/>
        </w:rPr>
      </w:pPr>
      <w:r w:rsidRPr="00976398">
        <w:rPr>
          <w:lang w:val="en-US"/>
        </w:rPr>
        <w:t>Current treatment of patients at high CV risk continues to be based on control of risk factors, even though there are known limitations to that approach. Current diagnostic techniques, such as the measurement of TPA, improves risk stratification, as demonstrated by our working group in Argentina</w:t>
      </w:r>
      <w:r w:rsidR="008E6328" w:rsidRPr="008E6328">
        <w:rPr>
          <w:vertAlign w:val="superscript"/>
          <w:lang w:val="en-US"/>
        </w:rPr>
        <w:t>26</w:t>
      </w:r>
      <w:r w:rsidRPr="00976398">
        <w:rPr>
          <w:lang w:val="en-US"/>
        </w:rPr>
        <w:t>, Fuster et al. in the United States</w:t>
      </w:r>
      <w:r w:rsidR="008E6328" w:rsidRPr="008E6328">
        <w:rPr>
          <w:vertAlign w:val="superscript"/>
          <w:lang w:val="en-US"/>
        </w:rPr>
        <w:t>27</w:t>
      </w:r>
      <w:r w:rsidRPr="00976398">
        <w:rPr>
          <w:lang w:val="en-US"/>
        </w:rPr>
        <w:t xml:space="preserve">, and Romanens in </w:t>
      </w:r>
      <w:r w:rsidR="008E6328" w:rsidRPr="00976398">
        <w:rPr>
          <w:lang w:val="en-US"/>
        </w:rPr>
        <w:t>Switzerland.</w:t>
      </w:r>
      <w:r w:rsidRPr="00976398">
        <w:rPr>
          <w:lang w:val="en-US"/>
        </w:rPr>
        <w:t xml:space="preserve"> Regardless of the initial risk level (low, intermediate, high, very high), the suggested </w:t>
      </w:r>
      <w:r w:rsidRPr="00976398">
        <w:rPr>
          <w:lang w:val="en-US"/>
        </w:rPr>
        <w:lastRenderedPageBreak/>
        <w:t>therapeutic goals in the management of these patients remain static, irrespective of the effect of the treatment on the progression of atherosclerosis. A meta-analysis reported a reduction in CV events with LDL cholesterol values much lower than the 70 mg/dl suggested presently</w:t>
      </w:r>
      <w:r w:rsidR="008E6328" w:rsidRPr="008E6328">
        <w:rPr>
          <w:vertAlign w:val="superscript"/>
          <w:lang w:val="en-US"/>
        </w:rPr>
        <w:t>29</w:t>
      </w:r>
      <w:r w:rsidRPr="00976398">
        <w:rPr>
          <w:lang w:val="en-US"/>
        </w:rPr>
        <w:t>. A study in &gt; 4,000 patients reported that renal failure and advanced age were related to “resistant atherosclerosis,” a situation identified in patients who, despite having very low levels of LDL-C, continue to have progression in their load of atherosclerosis burden</w:t>
      </w:r>
      <w:r w:rsidR="008E6328" w:rsidRPr="008E6328">
        <w:rPr>
          <w:vertAlign w:val="superscript"/>
          <w:lang w:val="en-US"/>
        </w:rPr>
        <w:t>30</w:t>
      </w:r>
      <w:r w:rsidRPr="00976398">
        <w:rPr>
          <w:lang w:val="en-US"/>
        </w:rPr>
        <w:t>. Plasma levels</w:t>
      </w:r>
      <w:r>
        <w:rPr>
          <w:lang w:val="en-US"/>
        </w:rPr>
        <w:t xml:space="preserve"> </w:t>
      </w:r>
      <w:r w:rsidRPr="00976398">
        <w:rPr>
          <w:lang w:val="en-US"/>
        </w:rPr>
        <w:t>of toxic metabolites produced by the intestinal microbiome were associated with increased TPA not explained by traditional risk factors (“unexplained atherosclerosis”)</w:t>
      </w:r>
      <w:r w:rsidR="008E6328" w:rsidRPr="008E6328">
        <w:rPr>
          <w:vertAlign w:val="superscript"/>
          <w:lang w:val="en-US"/>
        </w:rPr>
        <w:t>31</w:t>
      </w:r>
      <w:r w:rsidRPr="00976398">
        <w:rPr>
          <w:lang w:val="en-US"/>
        </w:rPr>
        <w:t>. In our study, an association of age or creatinine level with progression as independent factors was not reproduced, probably because of the small number of patients, and the restricted range of these variables</w:t>
      </w:r>
      <w:r w:rsidR="008E6328" w:rsidRPr="008E6328">
        <w:rPr>
          <w:vertAlign w:val="superscript"/>
          <w:lang w:val="en-US"/>
        </w:rPr>
        <w:t>32</w:t>
      </w:r>
      <w:r w:rsidRPr="00976398">
        <w:rPr>
          <w:lang w:val="en-US"/>
        </w:rPr>
        <w:t>. The ratio of Tg/HDL-C, recently shown to identify metabolic syndrome and insulin resistance, and an association with high TPA</w:t>
      </w:r>
      <w:r w:rsidR="008E6328" w:rsidRPr="008E6328">
        <w:rPr>
          <w:vertAlign w:val="superscript"/>
          <w:lang w:val="en-US"/>
        </w:rPr>
        <w:t>33</w:t>
      </w:r>
      <w:r w:rsidRPr="00976398">
        <w:rPr>
          <w:lang w:val="en-US"/>
        </w:rPr>
        <w:t>, was not predictive of progression in our population, perhaps for the same reasons. Because factors other than traditional risk factors account for approximately half of plaque burden in linear regression modeling, treating only traditional risk factors to consensus target levels fails approximately half of patients: they have plaque progression, with twice the risk of those with non-progression. Measuring the burden of atherosclerosis not only permits more precise risk stratification, but also determines the effectiveness of treatment, and identifies patients at higher risk who need more intensive therapy based on “treating arteries” to be sure that the treatment instituted is effective.</w:t>
      </w:r>
    </w:p>
    <w:p w14:paraId="73E8597D" w14:textId="77777777" w:rsidR="00D67FEF" w:rsidRDefault="00D67FEF" w:rsidP="00D67FEF">
      <w:pPr>
        <w:pStyle w:val="Ttulo1"/>
        <w:rPr>
          <w:lang w:val="en-US"/>
        </w:rPr>
      </w:pPr>
      <w:r w:rsidRPr="00D67FEF">
        <w:rPr>
          <w:lang w:val="en-US"/>
        </w:rPr>
        <w:t>Limitations</w:t>
      </w:r>
    </w:p>
    <w:p w14:paraId="33BE140F" w14:textId="77777777" w:rsidR="00D67FEF" w:rsidRDefault="00D67FEF" w:rsidP="00D67FEF">
      <w:pPr>
        <w:rPr>
          <w:lang w:val="en-US"/>
        </w:rPr>
      </w:pPr>
      <w:r w:rsidRPr="00D67FEF">
        <w:rPr>
          <w:lang w:val="en-US"/>
        </w:rPr>
        <w:t>The selection of our subjects was not based on a random population sample. Our population was derived from a follow-up cohort previously described, and the great majority was older than 60 years old, which limits the extrapolation of results to the general population. Even when our study has few participants, all these had blood pressure and serum LDL Cholesterol at target levels, which in real life follow up is very difficult</w:t>
      </w:r>
      <w:r>
        <w:rPr>
          <w:lang w:val="en-US"/>
        </w:rPr>
        <w:t>.</w:t>
      </w:r>
    </w:p>
    <w:p w14:paraId="1E1462D6" w14:textId="77777777" w:rsidR="00D67FEF" w:rsidRPr="00D67FEF" w:rsidRDefault="00D67FEF" w:rsidP="00D67FEF">
      <w:pPr>
        <w:pStyle w:val="Ttulo1"/>
        <w:rPr>
          <w:lang w:val="en-US"/>
        </w:rPr>
      </w:pPr>
      <w:r w:rsidRPr="00D67FEF">
        <w:rPr>
          <w:lang w:val="en-US"/>
        </w:rPr>
        <w:t>Conclusions</w:t>
      </w:r>
    </w:p>
    <w:p w14:paraId="0F2067FD" w14:textId="77777777" w:rsidR="005E7506" w:rsidRPr="00FE7744" w:rsidRDefault="000762E9" w:rsidP="00E33A69">
      <w:pPr>
        <w:rPr>
          <w:bdr w:val="none" w:sz="0" w:space="0" w:color="auto" w:frame="1"/>
          <w:lang w:val="en-US"/>
        </w:rPr>
      </w:pPr>
      <w:r>
        <w:rPr>
          <w:noProof/>
          <w:lang w:val="en-US" w:eastAsia="en-US"/>
        </w:rPr>
        <mc:AlternateContent>
          <mc:Choice Requires="wps">
            <w:drawing>
              <wp:anchor distT="0" distB="0" distL="114300" distR="114300" simplePos="0" relativeHeight="251711488" behindDoc="0" locked="0" layoutInCell="1" hidden="0" allowOverlap="1" wp14:anchorId="7C479187" wp14:editId="60A6DC41">
                <wp:simplePos x="0" y="0"/>
                <wp:positionH relativeFrom="rightMargin">
                  <wp:posOffset>225424</wp:posOffset>
                </wp:positionH>
                <wp:positionV relativeFrom="paragraph">
                  <wp:posOffset>703580</wp:posOffset>
                </wp:positionV>
                <wp:extent cx="437515" cy="371475"/>
                <wp:effectExtent l="0" t="0" r="19685" b="28575"/>
                <wp:wrapNone/>
                <wp:docPr id="24" name="Rectángulo 24"/>
                <wp:cNvGraphicFramePr/>
                <a:graphic xmlns:a="http://schemas.openxmlformats.org/drawingml/2006/main">
                  <a:graphicData uri="http://schemas.microsoft.com/office/word/2010/wordprocessingShape">
                    <wps:wsp>
                      <wps:cNvSpPr/>
                      <wps:spPr>
                        <a:xfrm flipH="1">
                          <a:off x="0" y="0"/>
                          <a:ext cx="437515" cy="371475"/>
                        </a:xfrm>
                        <a:prstGeom prst="rect">
                          <a:avLst/>
                        </a:prstGeom>
                        <a:solidFill>
                          <a:srgbClr val="509D2F"/>
                        </a:solidFill>
                        <a:ln w="9525" cap="flat" cmpd="sng">
                          <a:solidFill>
                            <a:srgbClr val="000000"/>
                          </a:solidFill>
                          <a:prstDash val="solid"/>
                          <a:round/>
                          <a:headEnd type="none" w="sm" len="sm"/>
                          <a:tailEnd type="none" w="sm" len="sm"/>
                        </a:ln>
                      </wps:spPr>
                      <wps:txbx>
                        <w:txbxContent>
                          <w:p w14:paraId="317CFAFC" w14:textId="528C5E2C" w:rsidR="00CC1B0F" w:rsidRPr="00E312BC" w:rsidRDefault="003F7F94" w:rsidP="00CC1B0F">
                            <w:pPr>
                              <w:jc w:val="center"/>
                              <w:textDirection w:val="btLr"/>
                              <w:rPr>
                                <w:b/>
                                <w:color w:val="FFFFFF"/>
                                <w:sz w:val="24"/>
                                <w:lang w:val="es-MX"/>
                              </w:rPr>
                            </w:pPr>
                            <w:r>
                              <w:rPr>
                                <w:b/>
                                <w:color w:val="FFFFFF"/>
                                <w:sz w:val="24"/>
                                <w:lang w:val="es-MX"/>
                              </w:rPr>
                              <w:t>12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479187" id="Rectángulo 24" o:spid="_x0000_s1031" style="position:absolute;left:0;text-align:left;margin-left:17.75pt;margin-top:55.4pt;width:34.45pt;height:29.25pt;flip:x;z-index:25171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" fillcolor="#509d2f">
                <v:stroke startarrowwidth="narrow" startarrowlength="short" endarrowwidth="narrow" endarrowlength="short" joinstyle="round"/>
                <v:textbox inset="2.53958mm,1.2694mm,2.53958mm,1.2694mm">
                  <w:txbxContent>
                    <w:p w14:paraId="317CFAFC" w14:textId="528C5E2C" w:rsidR="00CC1B0F" w:rsidRPr="00E312BC" w:rsidRDefault="003F7F94" w:rsidP="00CC1B0F">
                      <w:pPr>
                        <w:jc w:val="center"/>
                        <w:textDirection w:val="btLr"/>
                        <w:rPr>
                          <w:b/>
                          <w:color w:val="FFFFFF"/>
                          <w:sz w:val="24"/>
                          <w:lang w:val="es-MX"/>
                        </w:rPr>
                      </w:pPr>
                      <w:r>
                        <w:rPr>
                          <w:b/>
                          <w:color w:val="FFFFFF"/>
                          <w:sz w:val="24"/>
                          <w:lang w:val="es-MX"/>
                        </w:rPr>
                        <w:t>12</w:t>
                      </w:r>
                    </w:p>
                  </w:txbxContent>
                </v:textbox>
                <w10:wrap anchorx="margin"/>
              </v:rect>
            </w:pict>
          </mc:Fallback>
        </mc:AlternateContent>
      </w:r>
      <w:r w:rsidR="00D67FEF" w:rsidRPr="00D67FEF">
        <w:rPr>
          <w:bdr w:val="none" w:sz="0" w:space="0" w:color="auto" w:frame="1"/>
          <w:lang w:val="en-US"/>
        </w:rPr>
        <w:t xml:space="preserve">Our data evaluating a population with high CVD risk, which is representative of patients in real-life medical practice, show that controlling blood </w:t>
      </w:r>
      <w:r w:rsidR="00D67FEF" w:rsidRPr="00D67FEF">
        <w:rPr>
          <w:bdr w:val="none" w:sz="0" w:space="0" w:color="auto" w:frame="1"/>
          <w:lang w:val="en-US"/>
        </w:rPr>
        <w:lastRenderedPageBreak/>
        <w:t>pressure and LDL-C target levels does not prevent the progression of atherosclerotic plaque in a substantial proportion of patients. Therapy based on measurement of plaque burden may be more effective than simply treating risk factors to target levels.</w:t>
      </w:r>
    </w:p>
    <w:p w14:paraId="694209E2" w14:textId="77777777" w:rsidR="00F3616E" w:rsidRDefault="007D2A25" w:rsidP="00BE589E">
      <w:pPr>
        <w:pStyle w:val="Ttulo1"/>
      </w:pPr>
      <w:r>
        <w:t>Bibliografía</w:t>
      </w:r>
    </w:p>
    <w:p w14:paraId="25820D0D" w14:textId="77777777" w:rsidR="001B2E08" w:rsidRPr="00CC1B0F" w:rsidRDefault="001B2E08" w:rsidP="001B2E08">
      <w:pPr>
        <w:pStyle w:val="Biblio"/>
        <w:numPr>
          <w:ilvl w:val="0"/>
          <w:numId w:val="11"/>
        </w:numPr>
        <w:rPr>
          <w:lang w:val="en-US"/>
        </w:rPr>
      </w:pPr>
      <w:r w:rsidRPr="001B2E08">
        <w:rPr>
          <w:lang w:val="en-US"/>
        </w:rPr>
        <w:t xml:space="preserve">  WHO. Global atlas on cardiovascular disease prevention and control. </w:t>
      </w:r>
      <w:r w:rsidRPr="00CC1B0F">
        <w:rPr>
          <w:lang w:val="en-US"/>
        </w:rPr>
        <w:t xml:space="preserve">Geneva, 2011. </w:t>
      </w:r>
    </w:p>
    <w:p w14:paraId="093B7F6C" w14:textId="77777777" w:rsidR="001B2E08" w:rsidRPr="00CC1B0F" w:rsidRDefault="001B2E08" w:rsidP="001B2E08">
      <w:pPr>
        <w:pStyle w:val="Biblio"/>
        <w:numPr>
          <w:ilvl w:val="0"/>
          <w:numId w:val="11"/>
        </w:numPr>
        <w:rPr>
          <w:lang w:val="en-US"/>
        </w:rPr>
      </w:pPr>
      <w:r w:rsidRPr="001B2E08">
        <w:rPr>
          <w:lang w:val="en-US"/>
        </w:rPr>
        <w:t xml:space="preserve">  WHO. Global status report on non-communicable diseases 2014. </w:t>
      </w:r>
      <w:r w:rsidRPr="00CC1B0F">
        <w:rPr>
          <w:lang w:val="en-US"/>
        </w:rPr>
        <w:t xml:space="preserve">Geneva, 2014. </w:t>
      </w:r>
    </w:p>
    <w:p w14:paraId="4A940197" w14:textId="77777777" w:rsidR="001B2E08" w:rsidRDefault="001B2E08" w:rsidP="001B2E08">
      <w:pPr>
        <w:pStyle w:val="Biblio"/>
        <w:numPr>
          <w:ilvl w:val="0"/>
          <w:numId w:val="11"/>
        </w:numPr>
      </w:pPr>
      <w:r w:rsidRPr="001B2E08">
        <w:rPr>
          <w:lang w:val="en-US"/>
        </w:rPr>
        <w:t xml:space="preserve">  WHO. The World Health Report 2002: reducing risks, promoting healthy life. </w:t>
      </w:r>
      <w:r>
        <w:t xml:space="preserve">Geneva, 2002. </w:t>
      </w:r>
    </w:p>
    <w:p w14:paraId="2B0DCFE7" w14:textId="77777777" w:rsidR="001B2E08" w:rsidRDefault="001B2E08" w:rsidP="001B2E08">
      <w:pPr>
        <w:pStyle w:val="Biblio"/>
        <w:numPr>
          <w:ilvl w:val="0"/>
          <w:numId w:val="11"/>
        </w:numPr>
      </w:pPr>
      <w:r w:rsidRPr="001B2E08">
        <w:rPr>
          <w:lang w:val="en-US"/>
        </w:rPr>
        <w:t xml:space="preserve">  Nichols M, Townsend N, </w:t>
      </w:r>
      <w:proofErr w:type="spellStart"/>
      <w:r w:rsidRPr="001B2E08">
        <w:rPr>
          <w:lang w:val="en-US"/>
        </w:rPr>
        <w:t>Luengo</w:t>
      </w:r>
      <w:proofErr w:type="spellEnd"/>
      <w:r w:rsidRPr="001B2E08">
        <w:rPr>
          <w:lang w:val="en-US"/>
        </w:rPr>
        <w:t xml:space="preserve">-Fernandez R, et al. European Cardiovascular Disease Statistics 2012. European Heart Network, Brussels and European Society of Cardiology. </w:t>
      </w:r>
      <w:proofErr w:type="spellStart"/>
      <w:r>
        <w:t>Sophia</w:t>
      </w:r>
      <w:proofErr w:type="spellEnd"/>
      <w:r>
        <w:t xml:space="preserve"> </w:t>
      </w:r>
      <w:proofErr w:type="spellStart"/>
      <w:r>
        <w:t>Antipolis</w:t>
      </w:r>
      <w:proofErr w:type="spellEnd"/>
      <w:r>
        <w:t>. 162.</w:t>
      </w:r>
    </w:p>
    <w:p w14:paraId="4BEDA6C9" w14:textId="77777777" w:rsidR="001B2E08" w:rsidRDefault="001B2E08" w:rsidP="001B2E08">
      <w:pPr>
        <w:pStyle w:val="Biblio"/>
        <w:numPr>
          <w:ilvl w:val="0"/>
          <w:numId w:val="11"/>
        </w:numPr>
      </w:pPr>
      <w:r w:rsidRPr="001B2E08">
        <w:rPr>
          <w:lang w:val="en-US"/>
        </w:rPr>
        <w:t xml:space="preserve">  </w:t>
      </w:r>
      <w:proofErr w:type="spellStart"/>
      <w:r w:rsidR="00DE5563" w:rsidRPr="001B2E08">
        <w:rPr>
          <w:lang w:val="en-US"/>
        </w:rPr>
        <w:t>Pattersson</w:t>
      </w:r>
      <w:proofErr w:type="spellEnd"/>
      <w:r w:rsidR="00DE5563" w:rsidRPr="001B2E08">
        <w:rPr>
          <w:lang w:val="en-US"/>
        </w:rPr>
        <w:t xml:space="preserve"> PP</w:t>
      </w:r>
      <w:r w:rsidRPr="001B2E08">
        <w:rPr>
          <w:lang w:val="en-US"/>
        </w:rPr>
        <w:t xml:space="preserve">, Yang </w:t>
      </w:r>
      <w:proofErr w:type="gramStart"/>
      <w:r w:rsidRPr="001B2E08">
        <w:rPr>
          <w:lang w:val="en-US"/>
        </w:rPr>
        <w:t xml:space="preserve">Cao,  </w:t>
      </w:r>
      <w:proofErr w:type="spellStart"/>
      <w:r w:rsidRPr="001B2E08">
        <w:rPr>
          <w:lang w:val="en-US"/>
        </w:rPr>
        <w:t>Torbjorn</w:t>
      </w:r>
      <w:proofErr w:type="spellEnd"/>
      <w:proofErr w:type="gramEnd"/>
      <w:r w:rsidRPr="001B2E08">
        <w:rPr>
          <w:lang w:val="en-US"/>
        </w:rPr>
        <w:t xml:space="preserve">  B, et al. Body fat percentage and CRP correlates with a  composite score of vascular risk markers in healthy, young adults  -  The Lifestyle, Biomarkers, and  Atherosclerosis (LBA) study. </w:t>
      </w:r>
      <w:r w:rsidRPr="00D52D01">
        <w:rPr>
          <w:lang w:val="en-US"/>
        </w:rPr>
        <w:t xml:space="preserve">BMC </w:t>
      </w:r>
      <w:proofErr w:type="spellStart"/>
      <w:r w:rsidRPr="00D52D01">
        <w:rPr>
          <w:lang w:val="en-US"/>
        </w:rPr>
        <w:t>Cardiovasc</w:t>
      </w:r>
      <w:proofErr w:type="spellEnd"/>
      <w:r w:rsidRPr="00D52D01">
        <w:rPr>
          <w:lang w:val="en-US"/>
        </w:rPr>
        <w:t xml:space="preserve">  </w:t>
      </w:r>
      <w:proofErr w:type="spellStart"/>
      <w:r w:rsidRPr="00D52D01">
        <w:rPr>
          <w:lang w:val="en-US"/>
        </w:rPr>
        <w:t>Disord</w:t>
      </w:r>
      <w:proofErr w:type="spellEnd"/>
      <w:r w:rsidRPr="00D52D01">
        <w:rPr>
          <w:lang w:val="en-US"/>
        </w:rPr>
        <w:t xml:space="preserve">. </w:t>
      </w:r>
      <w:r>
        <w:t>2020; 20(1): 77.</w:t>
      </w:r>
    </w:p>
    <w:p w14:paraId="77244D00" w14:textId="77777777" w:rsidR="001B2E08" w:rsidRDefault="001B2E08" w:rsidP="001B2E08">
      <w:pPr>
        <w:pStyle w:val="Biblio"/>
        <w:numPr>
          <w:ilvl w:val="0"/>
          <w:numId w:val="11"/>
        </w:numPr>
      </w:pPr>
      <w:r w:rsidRPr="001B2E08">
        <w:rPr>
          <w:lang w:val="en-US"/>
        </w:rPr>
        <w:t xml:space="preserve">  </w:t>
      </w:r>
      <w:proofErr w:type="spellStart"/>
      <w:r w:rsidRPr="001B2E08">
        <w:rPr>
          <w:lang w:val="en-US"/>
        </w:rPr>
        <w:t>d'Agostino</w:t>
      </w:r>
      <w:proofErr w:type="spellEnd"/>
      <w:r w:rsidRPr="001B2E08">
        <w:rPr>
          <w:lang w:val="en-US"/>
        </w:rPr>
        <w:t xml:space="preserve"> RB </w:t>
      </w:r>
      <w:proofErr w:type="spellStart"/>
      <w:r w:rsidRPr="001B2E08">
        <w:rPr>
          <w:lang w:val="en-US"/>
        </w:rPr>
        <w:t>Sr</w:t>
      </w:r>
      <w:proofErr w:type="spellEnd"/>
      <w:r w:rsidRPr="001B2E08">
        <w:rPr>
          <w:lang w:val="en-US"/>
        </w:rPr>
        <w:t xml:space="preserve">, Grundy S, Sullivan LM, Wilson P; CHD Risk Prediction Group. Validation of the Framingham coronary heart disease prediction scores: results of a multiple ethnic groups investigation.  </w:t>
      </w:r>
      <w:r>
        <w:t>JAMA. 2001; 286: 180-187.</w:t>
      </w:r>
    </w:p>
    <w:p w14:paraId="46AAECFD" w14:textId="77777777" w:rsidR="001B2E08" w:rsidRDefault="001B2E08" w:rsidP="001B2E08">
      <w:pPr>
        <w:pStyle w:val="Biblio"/>
        <w:numPr>
          <w:ilvl w:val="0"/>
          <w:numId w:val="11"/>
        </w:numPr>
      </w:pPr>
      <w:r w:rsidRPr="001B2E08">
        <w:rPr>
          <w:lang w:val="en-US"/>
        </w:rPr>
        <w:t xml:space="preserve">  European Guidelines on CVD Prevention in Clinical Practice 2016. </w:t>
      </w:r>
      <w:proofErr w:type="spellStart"/>
      <w:r>
        <w:t>Eur</w:t>
      </w:r>
      <w:proofErr w:type="spellEnd"/>
      <w:r>
        <w:t xml:space="preserve"> J </w:t>
      </w:r>
      <w:proofErr w:type="spellStart"/>
      <w:r>
        <w:t>Prev</w:t>
      </w:r>
      <w:proofErr w:type="spellEnd"/>
      <w:r>
        <w:t xml:space="preserve"> </w:t>
      </w:r>
      <w:proofErr w:type="spellStart"/>
      <w:r>
        <w:t>Cardiol</w:t>
      </w:r>
      <w:proofErr w:type="spellEnd"/>
      <w:r>
        <w:t>. 2016; 23(11): NP1-NP96.</w:t>
      </w:r>
    </w:p>
    <w:p w14:paraId="265286A5" w14:textId="77777777" w:rsidR="001B2E08" w:rsidRDefault="001B2E08" w:rsidP="001B2E08">
      <w:pPr>
        <w:pStyle w:val="Biblio"/>
        <w:numPr>
          <w:ilvl w:val="0"/>
          <w:numId w:val="11"/>
        </w:numPr>
      </w:pPr>
      <w:r w:rsidRPr="001B2E08">
        <w:rPr>
          <w:lang w:val="en-US"/>
        </w:rPr>
        <w:t xml:space="preserve">  </w:t>
      </w:r>
      <w:proofErr w:type="spellStart"/>
      <w:r w:rsidRPr="001B2E08">
        <w:rPr>
          <w:lang w:val="en-US"/>
        </w:rPr>
        <w:t>Assmann</w:t>
      </w:r>
      <w:proofErr w:type="spellEnd"/>
      <w:r w:rsidRPr="001B2E08">
        <w:rPr>
          <w:lang w:val="en-US"/>
        </w:rPr>
        <w:t xml:space="preserve"> G, Schulte H, Cullen P, </w:t>
      </w:r>
      <w:proofErr w:type="spellStart"/>
      <w:r w:rsidRPr="001B2E08">
        <w:rPr>
          <w:lang w:val="en-US"/>
        </w:rPr>
        <w:t>Seedorf</w:t>
      </w:r>
      <w:proofErr w:type="spellEnd"/>
      <w:r w:rsidRPr="001B2E08">
        <w:rPr>
          <w:lang w:val="en-US"/>
        </w:rPr>
        <w:t xml:space="preserve"> U. Assessing risk of myocardial infarction and stroke: new data from the Prospective Cardiovascular Munster (PROCAM) study. </w:t>
      </w:r>
      <w:proofErr w:type="spellStart"/>
      <w:r>
        <w:t>Eur</w:t>
      </w:r>
      <w:proofErr w:type="spellEnd"/>
      <w:r>
        <w:t xml:space="preserve"> J </w:t>
      </w:r>
      <w:proofErr w:type="spellStart"/>
      <w:r>
        <w:t>Clin</w:t>
      </w:r>
      <w:proofErr w:type="spellEnd"/>
      <w:r>
        <w:t xml:space="preserve"> </w:t>
      </w:r>
      <w:proofErr w:type="spellStart"/>
      <w:r>
        <w:t>Invest</w:t>
      </w:r>
      <w:proofErr w:type="spellEnd"/>
      <w:r>
        <w:t>. 2007;37(12):925-32.</w:t>
      </w:r>
    </w:p>
    <w:p w14:paraId="47042E86" w14:textId="77777777" w:rsidR="008E6328" w:rsidRPr="008E6328" w:rsidRDefault="001B2E08" w:rsidP="00FB51E6">
      <w:pPr>
        <w:pStyle w:val="Biblio"/>
        <w:numPr>
          <w:ilvl w:val="0"/>
          <w:numId w:val="11"/>
        </w:numPr>
      </w:pPr>
      <w:r w:rsidRPr="008E6328">
        <w:rPr>
          <w:lang w:val="en-US"/>
        </w:rPr>
        <w:t xml:space="preserve">  Adams A, </w:t>
      </w:r>
      <w:proofErr w:type="spellStart"/>
      <w:r w:rsidRPr="008E6328">
        <w:rPr>
          <w:lang w:val="en-US"/>
        </w:rPr>
        <w:t>Bojara</w:t>
      </w:r>
      <w:proofErr w:type="spellEnd"/>
      <w:r w:rsidRPr="008E6328">
        <w:rPr>
          <w:lang w:val="en-US"/>
        </w:rPr>
        <w:t xml:space="preserve"> W, </w:t>
      </w:r>
      <w:proofErr w:type="spellStart"/>
      <w:r w:rsidRPr="008E6328">
        <w:rPr>
          <w:lang w:val="en-US"/>
        </w:rPr>
        <w:t>Romanens</w:t>
      </w:r>
      <w:proofErr w:type="spellEnd"/>
      <w:r w:rsidRPr="008E6328">
        <w:rPr>
          <w:lang w:val="en-US"/>
        </w:rPr>
        <w:t xml:space="preserve"> M. The Determination of the Plaque Burden on the Carotid Artery </w:t>
      </w:r>
      <w:r w:rsidR="00607E7D" w:rsidRPr="008E6328">
        <w:rPr>
          <w:lang w:val="en-US"/>
        </w:rPr>
        <w:t>with</w:t>
      </w:r>
      <w:r w:rsidRPr="008E6328">
        <w:rPr>
          <w:lang w:val="en-US"/>
        </w:rPr>
        <w:t xml:space="preserve"> Ultrasound Significantly Improves the Risk Prediction in Middle-Aged Subjects Compared to PROCAM: An </w:t>
      </w:r>
      <w:r w:rsidRPr="008E6328">
        <w:rPr>
          <w:lang w:val="en-US"/>
        </w:rPr>
        <w:lastRenderedPageBreak/>
        <w:t xml:space="preserve">Outcome Study. </w:t>
      </w:r>
      <w:proofErr w:type="spellStart"/>
      <w:r>
        <w:t>Cardiol</w:t>
      </w:r>
      <w:proofErr w:type="spellEnd"/>
      <w:r>
        <w:t xml:space="preserve"> Res. 2020;11(4):233-8.</w:t>
      </w:r>
      <w:r w:rsidRPr="008E6328">
        <w:rPr>
          <w:lang w:val="en-US"/>
        </w:rPr>
        <w:t xml:space="preserve">  </w:t>
      </w:r>
    </w:p>
    <w:p w14:paraId="0679A892" w14:textId="77777777" w:rsidR="001B2E08" w:rsidRDefault="001B2E08" w:rsidP="00FB51E6">
      <w:pPr>
        <w:pStyle w:val="Biblio"/>
        <w:numPr>
          <w:ilvl w:val="0"/>
          <w:numId w:val="11"/>
        </w:numPr>
      </w:pPr>
      <w:r w:rsidRPr="008E6328">
        <w:rPr>
          <w:lang w:val="en-US"/>
        </w:rPr>
        <w:t xml:space="preserve">Cooney MT, </w:t>
      </w:r>
      <w:proofErr w:type="spellStart"/>
      <w:r w:rsidRPr="008E6328">
        <w:rPr>
          <w:lang w:val="en-US"/>
        </w:rPr>
        <w:t>Dudina</w:t>
      </w:r>
      <w:proofErr w:type="spellEnd"/>
      <w:r w:rsidRPr="008E6328">
        <w:rPr>
          <w:lang w:val="en-US"/>
        </w:rPr>
        <w:t xml:space="preserve"> AL and Graham IM. Value and Limitations of Existing Scores for the Assessment of Cardiovascular Risk. </w:t>
      </w:r>
      <w:r>
        <w:t xml:space="preserve">A </w:t>
      </w:r>
      <w:proofErr w:type="spellStart"/>
      <w:r>
        <w:t>Review</w:t>
      </w:r>
      <w:proofErr w:type="spellEnd"/>
      <w:r>
        <w:t xml:space="preserve"> </w:t>
      </w:r>
      <w:proofErr w:type="spellStart"/>
      <w:r>
        <w:t>for</w:t>
      </w:r>
      <w:proofErr w:type="spellEnd"/>
      <w:r>
        <w:t xml:space="preserve"> </w:t>
      </w:r>
      <w:proofErr w:type="spellStart"/>
      <w:r>
        <w:t>Clinicians</w:t>
      </w:r>
      <w:proofErr w:type="spellEnd"/>
      <w:r>
        <w:t xml:space="preserve">.  J Am </w:t>
      </w:r>
      <w:proofErr w:type="spellStart"/>
      <w:r>
        <w:t>Coll</w:t>
      </w:r>
      <w:proofErr w:type="spellEnd"/>
      <w:r>
        <w:t xml:space="preserve"> </w:t>
      </w:r>
      <w:proofErr w:type="spellStart"/>
      <w:r>
        <w:t>Cardiol</w:t>
      </w:r>
      <w:proofErr w:type="spellEnd"/>
      <w:r>
        <w:t>. 2009; 54: 1209-1227.</w:t>
      </w:r>
    </w:p>
    <w:p w14:paraId="04448D02" w14:textId="77777777" w:rsidR="001B2E08" w:rsidRDefault="001B2E08" w:rsidP="001B2E08">
      <w:pPr>
        <w:pStyle w:val="Biblio"/>
        <w:numPr>
          <w:ilvl w:val="0"/>
          <w:numId w:val="11"/>
        </w:numPr>
      </w:pPr>
      <w:r w:rsidRPr="001B2E08">
        <w:rPr>
          <w:lang w:val="en-US"/>
        </w:rPr>
        <w:t xml:space="preserve">  Gaede P, Lund-Andersen H, </w:t>
      </w:r>
      <w:proofErr w:type="spellStart"/>
      <w:r w:rsidRPr="001B2E08">
        <w:rPr>
          <w:lang w:val="en-US"/>
        </w:rPr>
        <w:t>Parving</w:t>
      </w:r>
      <w:proofErr w:type="spellEnd"/>
      <w:r w:rsidRPr="001B2E08">
        <w:rPr>
          <w:lang w:val="en-US"/>
        </w:rPr>
        <w:t xml:space="preserve"> H-H, et al. Effects on multifactorial intervention on mortality in Type 2 Diabetes. </w:t>
      </w:r>
      <w:r>
        <w:t xml:space="preserve">N </w:t>
      </w:r>
      <w:proofErr w:type="spellStart"/>
      <w:r>
        <w:t>Engl</w:t>
      </w:r>
      <w:proofErr w:type="spellEnd"/>
      <w:r>
        <w:t xml:space="preserve"> J </w:t>
      </w:r>
      <w:proofErr w:type="spellStart"/>
      <w:r>
        <w:t>Med</w:t>
      </w:r>
      <w:proofErr w:type="spellEnd"/>
      <w:r>
        <w:t xml:space="preserve">. 2008; 358:580-591. </w:t>
      </w:r>
    </w:p>
    <w:p w14:paraId="54E24065" w14:textId="77777777" w:rsidR="001B2E08" w:rsidRDefault="001B2E08" w:rsidP="001B2E08">
      <w:pPr>
        <w:pStyle w:val="Biblio"/>
        <w:numPr>
          <w:ilvl w:val="0"/>
          <w:numId w:val="11"/>
        </w:numPr>
      </w:pPr>
      <w:r w:rsidRPr="001B2E08">
        <w:rPr>
          <w:lang w:val="en-US"/>
        </w:rPr>
        <w:t xml:space="preserve">  Lopez AD et al. Global and regional burden of disease and risk factors, 2001: systematic analysis of population health data.  </w:t>
      </w:r>
      <w:r>
        <w:t>Lancet. 2006; 367(9524): 1747–57.</w:t>
      </w:r>
    </w:p>
    <w:p w14:paraId="06CD4527" w14:textId="77777777" w:rsidR="001B2E08" w:rsidRDefault="001B2E08" w:rsidP="001B2E08">
      <w:pPr>
        <w:pStyle w:val="Biblio"/>
        <w:numPr>
          <w:ilvl w:val="0"/>
          <w:numId w:val="11"/>
        </w:numPr>
      </w:pPr>
      <w:r w:rsidRPr="001B2E08">
        <w:rPr>
          <w:lang w:val="en-US"/>
        </w:rPr>
        <w:t xml:space="preserve">  Manuel DG et al. Revisiting Rose: strategies for reducing coronary heart disease. </w:t>
      </w:r>
      <w:r>
        <w:t>BMJ. 2006; 332: 659–662.</w:t>
      </w:r>
    </w:p>
    <w:p w14:paraId="0BE29036" w14:textId="77777777" w:rsidR="001B2E08" w:rsidRPr="008E6328" w:rsidRDefault="001B2E08" w:rsidP="003C2687">
      <w:pPr>
        <w:pStyle w:val="Biblio"/>
        <w:numPr>
          <w:ilvl w:val="0"/>
          <w:numId w:val="11"/>
        </w:numPr>
        <w:rPr>
          <w:lang w:val="en-US"/>
        </w:rPr>
      </w:pPr>
      <w:r w:rsidRPr="008E6328">
        <w:rPr>
          <w:lang w:val="en-US"/>
        </w:rPr>
        <w:t xml:space="preserve">  WHO. Prevention of recurrent heart attacks and strokes in low- and middle-income </w:t>
      </w:r>
      <w:proofErr w:type="spellStart"/>
      <w:proofErr w:type="gramStart"/>
      <w:r w:rsidRPr="008E6328">
        <w:rPr>
          <w:lang w:val="en-US"/>
        </w:rPr>
        <w:t>populations.Evidence</w:t>
      </w:r>
      <w:proofErr w:type="spellEnd"/>
      <w:proofErr w:type="gramEnd"/>
      <w:r w:rsidRPr="008E6328">
        <w:rPr>
          <w:lang w:val="en-US"/>
        </w:rPr>
        <w:t xml:space="preserve">-based recommendations for policy makers and health professionals. Geneva, 2003. </w:t>
      </w:r>
    </w:p>
    <w:p w14:paraId="0DC30D16" w14:textId="77777777" w:rsidR="001B2E08" w:rsidRDefault="001B2E08" w:rsidP="001B2E08">
      <w:pPr>
        <w:pStyle w:val="Biblio"/>
        <w:numPr>
          <w:ilvl w:val="0"/>
          <w:numId w:val="11"/>
        </w:numPr>
      </w:pPr>
      <w:r w:rsidRPr="001B2E08">
        <w:rPr>
          <w:lang w:val="en-US"/>
        </w:rPr>
        <w:t xml:space="preserve">  Spence JD, </w:t>
      </w:r>
      <w:proofErr w:type="spellStart"/>
      <w:r w:rsidRPr="001B2E08">
        <w:rPr>
          <w:lang w:val="en-US"/>
        </w:rPr>
        <w:t>Hackam</w:t>
      </w:r>
      <w:proofErr w:type="spellEnd"/>
      <w:r w:rsidRPr="001B2E08">
        <w:rPr>
          <w:lang w:val="en-US"/>
        </w:rPr>
        <w:t xml:space="preserve"> DG. Treating Arteries Instead of Risk Factors A Paradigm Change in Management of Atherosclerosis. </w:t>
      </w:r>
      <w:proofErr w:type="spellStart"/>
      <w:r>
        <w:t>Stroke</w:t>
      </w:r>
      <w:proofErr w:type="spellEnd"/>
      <w:r>
        <w:t xml:space="preserve">. 2010; 41: 1193-1199. </w:t>
      </w:r>
    </w:p>
    <w:p w14:paraId="0ED9B194" w14:textId="77777777" w:rsidR="001B2E08" w:rsidRDefault="001B2E08" w:rsidP="001B2E08">
      <w:pPr>
        <w:pStyle w:val="Biblio"/>
        <w:numPr>
          <w:ilvl w:val="0"/>
          <w:numId w:val="11"/>
        </w:numPr>
      </w:pPr>
      <w:r w:rsidRPr="001B2E08">
        <w:rPr>
          <w:lang w:val="en-US"/>
        </w:rPr>
        <w:t xml:space="preserve">  Baber U, Mehran R, </w:t>
      </w:r>
      <w:proofErr w:type="spellStart"/>
      <w:r w:rsidRPr="001B2E08">
        <w:rPr>
          <w:lang w:val="en-US"/>
        </w:rPr>
        <w:t>Sartori</w:t>
      </w:r>
      <w:proofErr w:type="spellEnd"/>
      <w:r w:rsidRPr="001B2E08">
        <w:rPr>
          <w:lang w:val="en-US"/>
        </w:rPr>
        <w:t xml:space="preserve"> S, </w:t>
      </w:r>
      <w:proofErr w:type="spellStart"/>
      <w:r w:rsidRPr="001B2E08">
        <w:rPr>
          <w:lang w:val="en-US"/>
        </w:rPr>
        <w:t>Schoos</w:t>
      </w:r>
      <w:proofErr w:type="spellEnd"/>
      <w:r w:rsidRPr="001B2E08">
        <w:rPr>
          <w:lang w:val="en-US"/>
        </w:rPr>
        <w:t xml:space="preserve"> MM, </w:t>
      </w:r>
      <w:proofErr w:type="spellStart"/>
      <w:r w:rsidRPr="001B2E08">
        <w:rPr>
          <w:lang w:val="en-US"/>
        </w:rPr>
        <w:t>Sillesen</w:t>
      </w:r>
      <w:proofErr w:type="spellEnd"/>
      <w:r w:rsidRPr="001B2E08">
        <w:rPr>
          <w:lang w:val="en-US"/>
        </w:rPr>
        <w:t xml:space="preserve"> H, </w:t>
      </w:r>
      <w:proofErr w:type="spellStart"/>
      <w:r w:rsidRPr="001B2E08">
        <w:rPr>
          <w:lang w:val="en-US"/>
        </w:rPr>
        <w:t>Muntendam</w:t>
      </w:r>
      <w:proofErr w:type="spellEnd"/>
      <w:r w:rsidRPr="001B2E08">
        <w:rPr>
          <w:lang w:val="en-US"/>
        </w:rPr>
        <w:t xml:space="preserve"> P et al. Prevalence, impact, and predictive value of detecting subclinical coronary and carotid atherosclerosis in asymptomatic adults: the </w:t>
      </w:r>
      <w:proofErr w:type="spellStart"/>
      <w:r w:rsidRPr="001B2E08">
        <w:rPr>
          <w:lang w:val="en-US"/>
        </w:rPr>
        <w:t>BioImage</w:t>
      </w:r>
      <w:proofErr w:type="spellEnd"/>
      <w:r w:rsidRPr="001B2E08">
        <w:rPr>
          <w:lang w:val="en-US"/>
        </w:rPr>
        <w:t xml:space="preserve"> study. </w:t>
      </w:r>
      <w:r>
        <w:t xml:space="preserve">J Am </w:t>
      </w:r>
      <w:proofErr w:type="spellStart"/>
      <w:r>
        <w:t>Coll</w:t>
      </w:r>
      <w:proofErr w:type="spellEnd"/>
      <w:r>
        <w:t xml:space="preserve"> </w:t>
      </w:r>
      <w:proofErr w:type="spellStart"/>
      <w:r>
        <w:t>Cardiol</w:t>
      </w:r>
      <w:proofErr w:type="spellEnd"/>
      <w:r>
        <w:t>. 2015;65(11):1065-74.</w:t>
      </w:r>
    </w:p>
    <w:p w14:paraId="507E312A" w14:textId="77777777" w:rsidR="001B2E08" w:rsidRDefault="001B2E08" w:rsidP="001B2E08">
      <w:pPr>
        <w:pStyle w:val="Biblio"/>
        <w:numPr>
          <w:ilvl w:val="0"/>
          <w:numId w:val="11"/>
        </w:numPr>
      </w:pPr>
      <w:r w:rsidRPr="001B2E08">
        <w:rPr>
          <w:lang w:val="en-US"/>
        </w:rPr>
        <w:t xml:space="preserve">  Spence JD. Time course of atherosclerosis regression. </w:t>
      </w:r>
      <w:proofErr w:type="spellStart"/>
      <w:r>
        <w:t>Atherosclerosis</w:t>
      </w:r>
      <w:proofErr w:type="spellEnd"/>
      <w:r>
        <w:t xml:space="preserve">. 2014;235(2):347-8.  </w:t>
      </w:r>
    </w:p>
    <w:p w14:paraId="1430ED28" w14:textId="77777777" w:rsidR="001B2E08" w:rsidRDefault="001B2E08" w:rsidP="001B2E08">
      <w:pPr>
        <w:pStyle w:val="Biblio"/>
        <w:numPr>
          <w:ilvl w:val="0"/>
          <w:numId w:val="11"/>
        </w:numPr>
      </w:pPr>
      <w:r w:rsidRPr="001B2E08">
        <w:rPr>
          <w:lang w:val="en-US"/>
        </w:rPr>
        <w:t xml:space="preserve">  Spence JD, </w:t>
      </w:r>
      <w:proofErr w:type="spellStart"/>
      <w:r w:rsidRPr="001B2E08">
        <w:rPr>
          <w:lang w:val="en-US"/>
        </w:rPr>
        <w:t>Eliasziw</w:t>
      </w:r>
      <w:proofErr w:type="spellEnd"/>
      <w:r w:rsidRPr="001B2E08">
        <w:rPr>
          <w:lang w:val="en-US"/>
        </w:rPr>
        <w:t xml:space="preserve"> M, </w:t>
      </w:r>
      <w:proofErr w:type="spellStart"/>
      <w:r w:rsidRPr="001B2E08">
        <w:rPr>
          <w:lang w:val="en-US"/>
        </w:rPr>
        <w:t>DiCicco</w:t>
      </w:r>
      <w:proofErr w:type="spellEnd"/>
      <w:r w:rsidRPr="001B2E08">
        <w:rPr>
          <w:lang w:val="en-US"/>
        </w:rPr>
        <w:t xml:space="preserve"> M, </w:t>
      </w:r>
      <w:proofErr w:type="spellStart"/>
      <w:r w:rsidRPr="001B2E08">
        <w:rPr>
          <w:lang w:val="en-US"/>
        </w:rPr>
        <w:t>Hackam</w:t>
      </w:r>
      <w:proofErr w:type="spellEnd"/>
      <w:r w:rsidRPr="001B2E08">
        <w:rPr>
          <w:lang w:val="en-US"/>
        </w:rPr>
        <w:t xml:space="preserve"> DG, </w:t>
      </w:r>
      <w:proofErr w:type="spellStart"/>
      <w:r w:rsidRPr="001B2E08">
        <w:rPr>
          <w:lang w:val="en-US"/>
        </w:rPr>
        <w:t>Galil</w:t>
      </w:r>
      <w:proofErr w:type="spellEnd"/>
      <w:r w:rsidRPr="001B2E08">
        <w:rPr>
          <w:lang w:val="en-US"/>
        </w:rPr>
        <w:t xml:space="preserve"> R and Lohmann T. Carotid plaque area: a tool for targeting and evaluating vascular preventive therapy. </w:t>
      </w:r>
      <w:proofErr w:type="spellStart"/>
      <w:r>
        <w:t>Stroke</w:t>
      </w:r>
      <w:proofErr w:type="spellEnd"/>
      <w:r>
        <w:t>. 2002; 33:2916-22.</w:t>
      </w:r>
    </w:p>
    <w:p w14:paraId="3406C34A" w14:textId="77777777" w:rsidR="001B2E08" w:rsidRDefault="001B2E08" w:rsidP="001B2E08">
      <w:pPr>
        <w:pStyle w:val="Biblio"/>
        <w:numPr>
          <w:ilvl w:val="0"/>
          <w:numId w:val="11"/>
        </w:numPr>
      </w:pPr>
      <w:r>
        <w:t xml:space="preserve">  Perez HA, </w:t>
      </w:r>
      <w:proofErr w:type="spellStart"/>
      <w:r>
        <w:t>Adeoye</w:t>
      </w:r>
      <w:proofErr w:type="spellEnd"/>
      <w:r>
        <w:t xml:space="preserve"> AO, Aballay L et al. </w:t>
      </w:r>
      <w:r w:rsidRPr="001B2E08">
        <w:rPr>
          <w:lang w:val="en-US"/>
        </w:rPr>
        <w:t xml:space="preserve">An Intensive follow up in subject with cardiometabolic high risk. </w:t>
      </w:r>
      <w:proofErr w:type="spellStart"/>
      <w:r>
        <w:t>Nutr</w:t>
      </w:r>
      <w:proofErr w:type="spellEnd"/>
      <w:r>
        <w:t xml:space="preserve"> </w:t>
      </w:r>
      <w:proofErr w:type="spellStart"/>
      <w:r>
        <w:t>Metab</w:t>
      </w:r>
      <w:proofErr w:type="spellEnd"/>
      <w:r>
        <w:t xml:space="preserve"> </w:t>
      </w:r>
      <w:proofErr w:type="spellStart"/>
      <w:r>
        <w:t>Cardiovas</w:t>
      </w:r>
      <w:proofErr w:type="spellEnd"/>
      <w:r>
        <w:t>. 2021; 31: 2860-2869.</w:t>
      </w:r>
    </w:p>
    <w:p w14:paraId="027ECAB9" w14:textId="77777777" w:rsidR="008E6328" w:rsidRPr="008E6328" w:rsidRDefault="000762E9" w:rsidP="001B2E08">
      <w:pPr>
        <w:pStyle w:val="Biblio"/>
        <w:numPr>
          <w:ilvl w:val="0"/>
          <w:numId w:val="11"/>
        </w:numPr>
      </w:pPr>
      <w:r>
        <w:rPr>
          <w:noProof/>
          <w:lang w:val="en-US" w:eastAsia="en-US"/>
        </w:rPr>
        <mc:AlternateContent>
          <mc:Choice Requires="wps">
            <w:drawing>
              <wp:anchor distT="0" distB="0" distL="114300" distR="114300" simplePos="0" relativeHeight="251723776" behindDoc="0" locked="0" layoutInCell="1" hidden="0" allowOverlap="1" wp14:anchorId="7C5C9F53" wp14:editId="08591AB5">
                <wp:simplePos x="0" y="0"/>
                <wp:positionH relativeFrom="rightMargin">
                  <wp:posOffset>273050</wp:posOffset>
                </wp:positionH>
                <wp:positionV relativeFrom="paragraph">
                  <wp:posOffset>495299</wp:posOffset>
                </wp:positionV>
                <wp:extent cx="438150" cy="390525"/>
                <wp:effectExtent l="0" t="0" r="19050" b="28575"/>
                <wp:wrapNone/>
                <wp:docPr id="8" name="Rectángulo 8"/>
                <wp:cNvGraphicFramePr/>
                <a:graphic xmlns:a="http://schemas.openxmlformats.org/drawingml/2006/main">
                  <a:graphicData uri="http://schemas.microsoft.com/office/word/2010/wordprocessingShape">
                    <wps:wsp>
                      <wps:cNvSpPr/>
                      <wps:spPr>
                        <a:xfrm flipH="1">
                          <a:off x="0" y="0"/>
                          <a:ext cx="438150" cy="390525"/>
                        </a:xfrm>
                        <a:prstGeom prst="rect">
                          <a:avLst/>
                        </a:prstGeom>
                        <a:solidFill>
                          <a:srgbClr val="509D2F"/>
                        </a:solidFill>
                        <a:ln w="9525" cap="flat" cmpd="sng">
                          <a:solidFill>
                            <a:srgbClr val="000000"/>
                          </a:solidFill>
                          <a:prstDash val="solid"/>
                          <a:round/>
                          <a:headEnd type="none" w="sm" len="sm"/>
                          <a:tailEnd type="none" w="sm" len="sm"/>
                        </a:ln>
                      </wps:spPr>
                      <wps:txbx>
                        <w:txbxContent>
                          <w:p w14:paraId="20F88EC2" w14:textId="2E3434E3" w:rsidR="000762E9" w:rsidRPr="00E312BC" w:rsidRDefault="003F7F94" w:rsidP="000762E9">
                            <w:pPr>
                              <w:jc w:val="center"/>
                              <w:textDirection w:val="btLr"/>
                              <w:rPr>
                                <w:b/>
                                <w:color w:val="FFFFFF"/>
                                <w:sz w:val="24"/>
                                <w:lang w:val="es-MX"/>
                              </w:rPr>
                            </w:pPr>
                            <w:r>
                              <w:rPr>
                                <w:b/>
                                <w:color w:val="FFFFFF"/>
                                <w:sz w:val="24"/>
                                <w:lang w:val="es-MX"/>
                              </w:rPr>
                              <w:t>13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5C9F53" id="Rectángulo 8" o:spid="_x0000_s1032" style="position:absolute;left:0;text-align:left;margin-left:21.5pt;margin-top:39pt;width:34.5pt;height:30.75pt;flip:x;z-index:251723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" fillcolor="#509d2f">
                <v:stroke startarrowwidth="narrow" startarrowlength="short" endarrowwidth="narrow" endarrowlength="short" joinstyle="round"/>
                <v:textbox inset="2.53958mm,1.2694mm,2.53958mm,1.2694mm">
                  <w:txbxContent>
                    <w:p w14:paraId="20F88EC2" w14:textId="2E3434E3" w:rsidR="000762E9" w:rsidRPr="00E312BC" w:rsidRDefault="003F7F94" w:rsidP="000762E9">
                      <w:pPr>
                        <w:jc w:val="center"/>
                        <w:textDirection w:val="btLr"/>
                        <w:rPr>
                          <w:b/>
                          <w:color w:val="FFFFFF"/>
                          <w:sz w:val="24"/>
                          <w:lang w:val="es-MX"/>
                        </w:rPr>
                      </w:pPr>
                      <w:r>
                        <w:rPr>
                          <w:b/>
                          <w:color w:val="FFFFFF"/>
                          <w:sz w:val="24"/>
                          <w:lang w:val="es-MX"/>
                        </w:rPr>
                        <w:t>13</w:t>
                      </w:r>
                    </w:p>
                  </w:txbxContent>
                </v:textbox>
                <w10:wrap anchorx="margin"/>
              </v:rect>
            </w:pict>
          </mc:Fallback>
        </mc:AlternateContent>
      </w:r>
      <w:r w:rsidR="001B2E08">
        <w:t xml:space="preserve">  </w:t>
      </w:r>
      <w:proofErr w:type="spellStart"/>
      <w:r w:rsidR="001B2E08">
        <w:t>D’Agostino</w:t>
      </w:r>
      <w:proofErr w:type="spellEnd"/>
      <w:r w:rsidR="001B2E08">
        <w:t xml:space="preserve"> RB, </w:t>
      </w:r>
      <w:proofErr w:type="spellStart"/>
      <w:r w:rsidR="001B2E08">
        <w:t>Vasan</w:t>
      </w:r>
      <w:proofErr w:type="spellEnd"/>
      <w:r w:rsidR="001B2E08">
        <w:t xml:space="preserve"> RS, </w:t>
      </w:r>
      <w:proofErr w:type="spellStart"/>
      <w:r w:rsidR="001B2E08">
        <w:t>Pencina</w:t>
      </w:r>
      <w:proofErr w:type="spellEnd"/>
      <w:r w:rsidR="001B2E08">
        <w:t xml:space="preserve"> MJ et al. </w:t>
      </w:r>
      <w:r w:rsidR="001B2E08" w:rsidRPr="001B2E08">
        <w:rPr>
          <w:lang w:val="en-US"/>
        </w:rPr>
        <w:t xml:space="preserve">General Cardiovascular risk </w:t>
      </w:r>
      <w:r w:rsidR="001B2E08" w:rsidRPr="001B2E08">
        <w:rPr>
          <w:lang w:val="en-US"/>
        </w:rPr>
        <w:lastRenderedPageBreak/>
        <w:t>profile for use in primary care. The Framingham Heart Study. Circulation. 2008; 117: 743-753.</w:t>
      </w:r>
    </w:p>
    <w:p w14:paraId="5533D0B4" w14:textId="77777777" w:rsidR="008E6328" w:rsidRPr="008E6328" w:rsidRDefault="008E6328" w:rsidP="008E6328">
      <w:pPr>
        <w:pStyle w:val="Biblio"/>
        <w:numPr>
          <w:ilvl w:val="0"/>
          <w:numId w:val="11"/>
        </w:numPr>
        <w:rPr>
          <w:lang w:val="en-US"/>
        </w:rPr>
      </w:pPr>
      <w:r w:rsidRPr="008E6328">
        <w:rPr>
          <w:lang w:val="en-US"/>
        </w:rPr>
        <w:t xml:space="preserve">  Arterial Hypertension Guide.  SAHA. [WEB] http://www.saha.org.ar/pdf/GUIA_SAHA_VERSION_COMPLETA.pdf  </w:t>
      </w:r>
    </w:p>
    <w:p w14:paraId="3FDA7DC2" w14:textId="77777777" w:rsidR="008E6328" w:rsidRPr="008E6328" w:rsidRDefault="008E6328" w:rsidP="003166C0">
      <w:pPr>
        <w:pStyle w:val="Biblio"/>
        <w:numPr>
          <w:ilvl w:val="0"/>
          <w:numId w:val="11"/>
        </w:numPr>
        <w:rPr>
          <w:lang w:val="en-US"/>
        </w:rPr>
      </w:pPr>
      <w:r w:rsidRPr="008E6328">
        <w:rPr>
          <w:lang w:val="en-US"/>
        </w:rPr>
        <w:t xml:space="preserve">  Diabetes Guide. Argentine Diabetes Society. [WEB]http://www.diabetes.org.ar/docs/2010_10_SAD_Guia_del_Tratamiento_de_la_D M2.pdf</w:t>
      </w:r>
    </w:p>
    <w:p w14:paraId="3C174954" w14:textId="77777777" w:rsidR="008E6328" w:rsidRPr="008E6328" w:rsidRDefault="008E6328" w:rsidP="008E6328">
      <w:pPr>
        <w:pStyle w:val="Biblio"/>
        <w:numPr>
          <w:ilvl w:val="0"/>
          <w:numId w:val="11"/>
        </w:numPr>
        <w:rPr>
          <w:lang w:val="en-US"/>
        </w:rPr>
      </w:pPr>
      <w:r w:rsidRPr="008E6328">
        <w:rPr>
          <w:lang w:val="en-US"/>
        </w:rPr>
        <w:t xml:space="preserve">  NCEP III: Executive summary of the third report of the National Cholesterol Education Program Expert Panel on Detection, Evaluation, and Treatment of High Blood Cholesterol in Adults (Adult Treatment Pane III). JAMA. 2001; 285: 2486-2497. </w:t>
      </w:r>
    </w:p>
    <w:p w14:paraId="6464EACA" w14:textId="77777777" w:rsidR="008E6328" w:rsidRPr="008E6328" w:rsidRDefault="008E6328" w:rsidP="00644BF8">
      <w:pPr>
        <w:pStyle w:val="Biblio"/>
        <w:numPr>
          <w:ilvl w:val="0"/>
          <w:numId w:val="11"/>
        </w:numPr>
        <w:rPr>
          <w:lang w:val="en-US"/>
        </w:rPr>
      </w:pPr>
      <w:r w:rsidRPr="008E6328">
        <w:rPr>
          <w:lang w:val="en-US"/>
        </w:rPr>
        <w:t xml:space="preserve">  National Guide to the Treatment of Tobacco Addiction. [WEB]http://www.femeba.org.ar/documentos/download/436-tratamiento_adiccion_tabaco.pdf</w:t>
      </w:r>
    </w:p>
    <w:p w14:paraId="0E9027F8" w14:textId="77777777" w:rsidR="008E6328" w:rsidRPr="008E6328" w:rsidRDefault="008E6328" w:rsidP="00082CC3">
      <w:pPr>
        <w:pStyle w:val="Biblio"/>
        <w:numPr>
          <w:ilvl w:val="0"/>
          <w:numId w:val="11"/>
        </w:numPr>
        <w:rPr>
          <w:lang w:val="en-US"/>
        </w:rPr>
      </w:pPr>
      <w:r w:rsidRPr="008E6328">
        <w:rPr>
          <w:lang w:val="en-US"/>
        </w:rPr>
        <w:t xml:space="preserve">  WHO Guides 2010 for Physical Activity. [WEB]http://whqlibdoc.who.int/publications/2010/9789243599977 spa.pdf.</w:t>
      </w:r>
    </w:p>
    <w:p w14:paraId="4B5A0DBD" w14:textId="77777777" w:rsidR="008E6328" w:rsidRPr="008E6328" w:rsidRDefault="008E6328" w:rsidP="008E6328">
      <w:pPr>
        <w:pStyle w:val="Biblio"/>
        <w:numPr>
          <w:ilvl w:val="0"/>
          <w:numId w:val="11"/>
        </w:numPr>
        <w:rPr>
          <w:lang w:val="en-US"/>
        </w:rPr>
      </w:pPr>
      <w:r w:rsidRPr="008E6328">
        <w:rPr>
          <w:lang w:val="en-US"/>
        </w:rPr>
        <w:t xml:space="preserve">  </w:t>
      </w:r>
      <w:r w:rsidRPr="008E6328">
        <w:rPr>
          <w:lang w:val="es-AR"/>
        </w:rPr>
        <w:t xml:space="preserve">Perez HA, Garcia NH, </w:t>
      </w:r>
      <w:proofErr w:type="spellStart"/>
      <w:r w:rsidRPr="008E6328">
        <w:rPr>
          <w:lang w:val="es-AR"/>
        </w:rPr>
        <w:t>Spence</w:t>
      </w:r>
      <w:proofErr w:type="spellEnd"/>
      <w:r w:rsidRPr="008E6328">
        <w:rPr>
          <w:lang w:val="es-AR"/>
        </w:rPr>
        <w:t xml:space="preserve"> JD, et al. </w:t>
      </w:r>
      <w:r w:rsidRPr="008E6328">
        <w:rPr>
          <w:lang w:val="en-US"/>
        </w:rPr>
        <w:t xml:space="preserve">Adding carotid total plaque area to the Framingham risk score improves cardiovascular risk classification. </w:t>
      </w:r>
      <w:proofErr w:type="spellStart"/>
      <w:r w:rsidRPr="008E6328">
        <w:rPr>
          <w:lang w:val="en-US"/>
        </w:rPr>
        <w:t>Archiv</w:t>
      </w:r>
      <w:proofErr w:type="spellEnd"/>
      <w:r w:rsidRPr="008E6328">
        <w:rPr>
          <w:lang w:val="en-US"/>
        </w:rPr>
        <w:t xml:space="preserve"> of Med Sci.2016; 12(3): 512-520.</w:t>
      </w:r>
    </w:p>
    <w:p w14:paraId="58CDF1C9" w14:textId="77777777" w:rsidR="008E6328" w:rsidRPr="008E6328" w:rsidRDefault="008E6328" w:rsidP="008E6328">
      <w:pPr>
        <w:pStyle w:val="Biblio"/>
        <w:numPr>
          <w:ilvl w:val="0"/>
          <w:numId w:val="11"/>
        </w:numPr>
        <w:rPr>
          <w:lang w:val="en-US"/>
        </w:rPr>
      </w:pPr>
      <w:r w:rsidRPr="008E6328">
        <w:rPr>
          <w:lang w:val="en-US"/>
        </w:rPr>
        <w:t xml:space="preserve">  Usman B, Mehran S, Sartori M, et al. Detection and impact of subclinical coronary and carotid atherosclerosis on cardiovascular risk prediction and reclassification in </w:t>
      </w:r>
      <w:proofErr w:type="spellStart"/>
      <w:r w:rsidRPr="008E6328">
        <w:rPr>
          <w:lang w:val="en-US"/>
        </w:rPr>
        <w:t>asyntomatic</w:t>
      </w:r>
      <w:proofErr w:type="spellEnd"/>
      <w:r w:rsidRPr="008E6328">
        <w:rPr>
          <w:lang w:val="en-US"/>
        </w:rPr>
        <w:t xml:space="preserve"> us adults: insights from the high-risk plaque bioimage study. J Am </w:t>
      </w:r>
      <w:proofErr w:type="spellStart"/>
      <w:r w:rsidRPr="008E6328">
        <w:rPr>
          <w:lang w:val="en-US"/>
        </w:rPr>
        <w:t>Coll</w:t>
      </w:r>
      <w:proofErr w:type="spellEnd"/>
      <w:r w:rsidRPr="008E6328">
        <w:rPr>
          <w:lang w:val="en-US"/>
        </w:rPr>
        <w:t xml:space="preserve"> </w:t>
      </w:r>
      <w:proofErr w:type="spellStart"/>
      <w:r w:rsidRPr="008E6328">
        <w:rPr>
          <w:lang w:val="en-US"/>
        </w:rPr>
        <w:t>Cardiol</w:t>
      </w:r>
      <w:proofErr w:type="spellEnd"/>
      <w:r w:rsidRPr="008E6328">
        <w:rPr>
          <w:lang w:val="en-US"/>
        </w:rPr>
        <w:t>. 2014; 63: A998.</w:t>
      </w:r>
    </w:p>
    <w:p w14:paraId="6FC19BF6" w14:textId="77777777" w:rsidR="008E6328" w:rsidRPr="008E6328" w:rsidRDefault="008E6328" w:rsidP="008E6328">
      <w:pPr>
        <w:pStyle w:val="Biblio"/>
        <w:numPr>
          <w:ilvl w:val="0"/>
          <w:numId w:val="11"/>
        </w:numPr>
        <w:rPr>
          <w:lang w:val="en-US"/>
        </w:rPr>
      </w:pPr>
      <w:r w:rsidRPr="008E6328">
        <w:rPr>
          <w:lang w:val="en-US"/>
        </w:rPr>
        <w:lastRenderedPageBreak/>
        <w:t xml:space="preserve">  </w:t>
      </w:r>
      <w:proofErr w:type="spellStart"/>
      <w:r w:rsidRPr="008E6328">
        <w:rPr>
          <w:lang w:val="en-US"/>
        </w:rPr>
        <w:t>Romanens</w:t>
      </w:r>
      <w:proofErr w:type="spellEnd"/>
      <w:r w:rsidRPr="008E6328">
        <w:rPr>
          <w:lang w:val="en-US"/>
        </w:rPr>
        <w:t xml:space="preserve"> M, </w:t>
      </w:r>
      <w:proofErr w:type="spellStart"/>
      <w:r w:rsidRPr="008E6328">
        <w:rPr>
          <w:lang w:val="en-US"/>
        </w:rPr>
        <w:t>Sudano</w:t>
      </w:r>
      <w:proofErr w:type="spellEnd"/>
      <w:r w:rsidRPr="008E6328">
        <w:rPr>
          <w:lang w:val="en-US"/>
        </w:rPr>
        <w:t xml:space="preserve"> I, Adams A, et al. Advanced carotid atherosclerosis in middle-aged subjects: comparison with PROCAM and SCORE risk categories, the potential for reclassification and </w:t>
      </w:r>
      <w:proofErr w:type="spellStart"/>
      <w:r w:rsidRPr="008E6328">
        <w:rPr>
          <w:lang w:val="en-US"/>
        </w:rPr>
        <w:t>costefficiency</w:t>
      </w:r>
      <w:proofErr w:type="spellEnd"/>
      <w:r w:rsidRPr="008E6328">
        <w:rPr>
          <w:lang w:val="en-US"/>
        </w:rPr>
        <w:t xml:space="preserve"> of carotid ultrasound in the setting of primary care. Swiss Med Wkly. 2019; 149: w20006.</w:t>
      </w:r>
    </w:p>
    <w:p w14:paraId="71891471" w14:textId="77777777" w:rsidR="008E6328" w:rsidRPr="008E6328" w:rsidRDefault="008E6328" w:rsidP="008E6328">
      <w:pPr>
        <w:pStyle w:val="Biblio"/>
        <w:numPr>
          <w:ilvl w:val="0"/>
          <w:numId w:val="11"/>
        </w:numPr>
        <w:rPr>
          <w:lang w:val="en-US"/>
        </w:rPr>
      </w:pPr>
      <w:proofErr w:type="spellStart"/>
      <w:r w:rsidRPr="008E6328">
        <w:rPr>
          <w:lang w:val="en-US"/>
        </w:rPr>
        <w:t>Sabatine</w:t>
      </w:r>
      <w:proofErr w:type="spellEnd"/>
      <w:r w:rsidRPr="008E6328">
        <w:rPr>
          <w:lang w:val="en-US"/>
        </w:rPr>
        <w:t xml:space="preserve"> MS, </w:t>
      </w:r>
      <w:proofErr w:type="spellStart"/>
      <w:r w:rsidRPr="008E6328">
        <w:rPr>
          <w:lang w:val="en-US"/>
        </w:rPr>
        <w:t>Wivviott</w:t>
      </w:r>
      <w:proofErr w:type="spellEnd"/>
      <w:r w:rsidRPr="008E6328">
        <w:rPr>
          <w:lang w:val="en-US"/>
        </w:rPr>
        <w:t xml:space="preserve"> SD, </w:t>
      </w:r>
      <w:proofErr w:type="spellStart"/>
      <w:proofErr w:type="gramStart"/>
      <w:r w:rsidRPr="008E6328">
        <w:rPr>
          <w:lang w:val="en-US"/>
        </w:rPr>
        <w:t>KyungAh</w:t>
      </w:r>
      <w:proofErr w:type="spellEnd"/>
      <w:r w:rsidRPr="008E6328">
        <w:rPr>
          <w:lang w:val="en-US"/>
        </w:rPr>
        <w:t xml:space="preserve">  </w:t>
      </w:r>
      <w:proofErr w:type="spellStart"/>
      <w:r w:rsidRPr="008E6328">
        <w:rPr>
          <w:lang w:val="en-US"/>
        </w:rPr>
        <w:t>Im</w:t>
      </w:r>
      <w:proofErr w:type="spellEnd"/>
      <w:proofErr w:type="gramEnd"/>
      <w:r w:rsidRPr="008E6328">
        <w:rPr>
          <w:lang w:val="en-US"/>
        </w:rPr>
        <w:t>, et al. Efficacy and Safety of Further Lowering of Low-Density Lipoprotein Cholesterol in Patients Starting with Very Low Levels A Meta-analysis. JAMA Cardiology. 2018; 3(9): 823-828.</w:t>
      </w:r>
    </w:p>
    <w:p w14:paraId="32E2186E" w14:textId="77777777" w:rsidR="008E6328" w:rsidRPr="008E6328" w:rsidRDefault="008E6328" w:rsidP="008E6328">
      <w:pPr>
        <w:pStyle w:val="Biblio"/>
        <w:numPr>
          <w:ilvl w:val="0"/>
          <w:numId w:val="11"/>
        </w:numPr>
        <w:rPr>
          <w:lang w:val="en-US"/>
        </w:rPr>
      </w:pPr>
      <w:r w:rsidRPr="008E6328">
        <w:rPr>
          <w:lang w:val="en-US"/>
        </w:rPr>
        <w:t xml:space="preserve">  Spence DJ and Solo K. Resistant Atherosclerosis. The need to monitor of plaque burden.  Stroke. 2017; 48(6): 1624-1629.</w:t>
      </w:r>
    </w:p>
    <w:p w14:paraId="26D004A9" w14:textId="77777777" w:rsidR="008E6328" w:rsidRPr="008E6328" w:rsidRDefault="008E6328" w:rsidP="008E6328">
      <w:pPr>
        <w:pStyle w:val="Biblio"/>
        <w:numPr>
          <w:ilvl w:val="0"/>
          <w:numId w:val="11"/>
        </w:numPr>
        <w:rPr>
          <w:lang w:val="en-US"/>
        </w:rPr>
      </w:pPr>
      <w:r w:rsidRPr="008E6328">
        <w:rPr>
          <w:lang w:val="es-AR"/>
        </w:rPr>
        <w:t xml:space="preserve">  </w:t>
      </w:r>
      <w:proofErr w:type="spellStart"/>
      <w:r w:rsidRPr="008E6328">
        <w:rPr>
          <w:lang w:val="es-AR"/>
        </w:rPr>
        <w:t>Bogiatzi</w:t>
      </w:r>
      <w:proofErr w:type="spellEnd"/>
      <w:r w:rsidRPr="008E6328">
        <w:rPr>
          <w:lang w:val="es-AR"/>
        </w:rPr>
        <w:t xml:space="preserve"> C, </w:t>
      </w:r>
      <w:proofErr w:type="spellStart"/>
      <w:r w:rsidRPr="008E6328">
        <w:rPr>
          <w:lang w:val="es-AR"/>
        </w:rPr>
        <w:t>Gloor</w:t>
      </w:r>
      <w:proofErr w:type="spellEnd"/>
      <w:r w:rsidRPr="008E6328">
        <w:rPr>
          <w:lang w:val="es-AR"/>
        </w:rPr>
        <w:t xml:space="preserve"> G, Allen-</w:t>
      </w:r>
      <w:proofErr w:type="spellStart"/>
      <w:r w:rsidRPr="008E6328">
        <w:rPr>
          <w:lang w:val="es-AR"/>
        </w:rPr>
        <w:t>Vercoe</w:t>
      </w:r>
      <w:proofErr w:type="spellEnd"/>
      <w:r w:rsidRPr="008E6328">
        <w:rPr>
          <w:lang w:val="es-AR"/>
        </w:rPr>
        <w:t xml:space="preserve"> E et al. </w:t>
      </w:r>
      <w:r w:rsidRPr="008E6328">
        <w:rPr>
          <w:lang w:val="en-US"/>
        </w:rPr>
        <w:t>Metabolic products of the intestinal microbiome and extremes of atherosclerosis. Atherosclerosis. 2018, 273: 91-97.</w:t>
      </w:r>
    </w:p>
    <w:p w14:paraId="154F92ED" w14:textId="77777777" w:rsidR="008E6328" w:rsidRPr="008E6328" w:rsidRDefault="008E6328" w:rsidP="008E6328">
      <w:pPr>
        <w:pStyle w:val="Biblio"/>
        <w:numPr>
          <w:ilvl w:val="0"/>
          <w:numId w:val="11"/>
        </w:numPr>
        <w:rPr>
          <w:lang w:val="en-US"/>
        </w:rPr>
      </w:pPr>
      <w:r w:rsidRPr="008E6328">
        <w:rPr>
          <w:lang w:val="en-US"/>
        </w:rPr>
        <w:t xml:space="preserve">  Bland JM, Altman DG. Correlation in restricted ranges of data. BMJ. 2011; 342: 577. </w:t>
      </w:r>
    </w:p>
    <w:p w14:paraId="28C4452C" w14:textId="77777777" w:rsidR="00521B15" w:rsidRPr="00CC1B0F" w:rsidRDefault="008E6328" w:rsidP="002703C8">
      <w:pPr>
        <w:pStyle w:val="Biblio"/>
        <w:numPr>
          <w:ilvl w:val="0"/>
          <w:numId w:val="11"/>
        </w:numPr>
        <w:pBdr>
          <w:top w:val="nil"/>
          <w:left w:val="nil"/>
          <w:bottom w:val="nil"/>
          <w:right w:val="nil"/>
          <w:between w:val="nil"/>
        </w:pBdr>
        <w:rPr>
          <w:lang w:val="es-AR"/>
        </w:rPr>
      </w:pPr>
      <w:r w:rsidRPr="008E6328">
        <w:rPr>
          <w:lang w:val="en-US"/>
        </w:rPr>
        <w:t xml:space="preserve">  Azarpazhooh MR, Najafi F, Darbandi, et al. Triglyceride/High-Density Lipoprotein Cholesterol Ratio: A Clue to Metabolic Syndrome, Insulin Resistance, and Severe Atherosclerosis. Lipids. 2021; 56: 405-412.</w:t>
      </w:r>
    </w:p>
    <w:p w14:paraId="0C9E6FDF" w14:textId="77777777" w:rsidR="00CC1B0F" w:rsidRPr="008E6328" w:rsidRDefault="00CC1B0F" w:rsidP="00CC1B0F">
      <w:pPr>
        <w:pStyle w:val="Biblio"/>
        <w:pBdr>
          <w:top w:val="nil"/>
          <w:left w:val="nil"/>
          <w:bottom w:val="nil"/>
          <w:right w:val="nil"/>
          <w:between w:val="nil"/>
        </w:pBdr>
        <w:ind w:left="720"/>
        <w:rPr>
          <w:lang w:val="es-AR"/>
        </w:rPr>
      </w:pPr>
      <w:r>
        <w:rPr>
          <w:noProof/>
          <w:color w:val="000000"/>
          <w:szCs w:val="20"/>
          <w:lang w:val="en-US" w:eastAsia="en-US"/>
        </w:rPr>
        <mc:AlternateContent>
          <mc:Choice Requires="wpg">
            <w:drawing>
              <wp:inline distT="0" distB="0" distL="0" distR="0" wp14:anchorId="5D62466D" wp14:editId="1E34B80A">
                <wp:extent cx="1181100" cy="552450"/>
                <wp:effectExtent l="0" t="0" r="0" b="0"/>
                <wp:docPr id="19" name="Grupo 19"/>
                <wp:cNvGraphicFramePr/>
                <a:graphic xmlns:a="http://schemas.openxmlformats.org/drawingml/2006/main">
                  <a:graphicData uri="http://schemas.microsoft.com/office/word/2010/wordprocessingGroup">
                    <wpg:wgp>
                      <wpg:cNvGrpSpPr/>
                      <wpg:grpSpPr>
                        <a:xfrm>
                          <a:off x="0" y="0"/>
                          <a:ext cx="1181100" cy="552450"/>
                          <a:chOff x="4747847" y="3532350"/>
                          <a:chExt cx="1196300" cy="495300"/>
                        </a:xfrm>
                      </wpg:grpSpPr>
                      <wpg:grpSp>
                        <wpg:cNvPr id="20" name="Grupo 20"/>
                        <wpg:cNvGrpSpPr/>
                        <wpg:grpSpPr>
                          <a:xfrm>
                            <a:off x="4747847" y="3532350"/>
                            <a:ext cx="1196300" cy="495300"/>
                            <a:chOff x="4760213" y="3532350"/>
                            <a:chExt cx="1196300" cy="495300"/>
                          </a:xfrm>
                        </wpg:grpSpPr>
                        <wps:wsp>
                          <wps:cNvPr id="23" name="Rectángulo 23"/>
                          <wps:cNvSpPr/>
                          <wps:spPr>
                            <a:xfrm>
                              <a:off x="4760213" y="3532350"/>
                              <a:ext cx="1196300" cy="495300"/>
                            </a:xfrm>
                            <a:prstGeom prst="rect">
                              <a:avLst/>
                            </a:prstGeom>
                            <a:noFill/>
                            <a:ln>
                              <a:noFill/>
                            </a:ln>
                          </wps:spPr>
                          <wps:txbx>
                            <w:txbxContent>
                              <w:p w14:paraId="04347ED3" w14:textId="77777777" w:rsidR="00CC1B0F" w:rsidRDefault="00CC1B0F" w:rsidP="00CC1B0F">
                                <w:pPr>
                                  <w:jc w:val="left"/>
                                  <w:textDirection w:val="btLr"/>
                                </w:pPr>
                              </w:p>
                            </w:txbxContent>
                          </wps:txbx>
                          <wps:bodyPr spcFirstLastPara="1" wrap="square" lIns="91425" tIns="91425" rIns="91425" bIns="91425" anchor="ctr" anchorCtr="0">
                            <a:noAutofit/>
                          </wps:bodyPr>
                        </wps:wsp>
                        <wpg:grpSp>
                          <wpg:cNvPr id="25" name="Grupo 25"/>
                          <wpg:cNvGrpSpPr/>
                          <wpg:grpSpPr>
                            <a:xfrm>
                              <a:off x="4760213" y="3532350"/>
                              <a:ext cx="1171575" cy="495300"/>
                              <a:chOff x="0" y="0"/>
                              <a:chExt cx="11701" cy="4312"/>
                            </a:xfrm>
                          </wpg:grpSpPr>
                          <wps:wsp>
                            <wps:cNvPr id="26" name="Rectángulo 26"/>
                            <wps:cNvSpPr/>
                            <wps:spPr>
                              <a:xfrm>
                                <a:off x="0" y="0"/>
                                <a:ext cx="11206" cy="4069"/>
                              </a:xfrm>
                              <a:prstGeom prst="rect">
                                <a:avLst/>
                              </a:prstGeom>
                              <a:noFill/>
                              <a:ln>
                                <a:noFill/>
                              </a:ln>
                            </wps:spPr>
                            <wps:txbx>
                              <w:txbxContent>
                                <w:p w14:paraId="1C72543C" w14:textId="77777777" w:rsidR="00CC1B0F" w:rsidRDefault="00CC1B0F" w:rsidP="00CC1B0F">
                                  <w:pPr>
                                    <w:jc w:val="left"/>
                                    <w:textDirection w:val="btLr"/>
                                  </w:pPr>
                                  <w:r>
                                    <w:t xml:space="preserve"> </w:t>
                                  </w:r>
                                </w:p>
                              </w:txbxContent>
                            </wps:txbx>
                            <wps:bodyPr spcFirstLastPara="1" wrap="square" lIns="91425" tIns="91425" rIns="91425" bIns="91425" anchor="ctr" anchorCtr="0">
                              <a:noAutofit/>
                            </wps:bodyPr>
                          </wps:wsp>
                          <wps:wsp>
                            <wps:cNvPr id="27"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9" name="Shape 7"/>
                              <pic:cNvPicPr preferRelativeResize="0"/>
                            </pic:nvPicPr>
                            <pic:blipFill rotWithShape="1">
                              <a:blip r:embed="rId24">
                                <a:alphaModFix/>
                              </a:blip>
                              <a:srcRect/>
                              <a:stretch/>
                            </pic:blipFill>
                            <pic:spPr>
                              <a:xfrm>
                                <a:off x="0" y="0"/>
                                <a:ext cx="11673" cy="4069"/>
                              </a:xfrm>
                              <a:prstGeom prst="rect">
                                <a:avLst/>
                              </a:prstGeom>
                              <a:noFill/>
                              <a:ln>
                                <a:noFill/>
                              </a:ln>
                            </pic:spPr>
                          </pic:pic>
                        </wpg:grp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39DE33" id="Grupo 19" o:spid="_x0000_s1034" style="width:93pt;height:43.5pt;mso-position-horizontal-relative:char;mso-position-vertical-relative:line" coordorigin="47478,35323" coordsize="11963,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">
                <v:group id="Grupo 20" o:spid="_x0000_s1035" style="position:absolute;left:47478;top:35323;width:11963;height:4953" coordorigin="47602,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ángulo 23" o:spid="_x0000_s1036"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CC1B0F" w:rsidRDefault="00CC1B0F" w:rsidP="00CC1B0F">
                          <w:pPr>
                            <w:jc w:val="left"/>
                            <w:textDirection w:val="btLr"/>
                          </w:pPr>
                        </w:p>
                      </w:txbxContent>
                    </v:textbox>
                  </v:rect>
                  <v:group id="Grupo 25" o:spid="_x0000_s1037"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ángulo 26" o:spid="_x0000_s1038"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rsidR="00CC1B0F" w:rsidRDefault="00CC1B0F" w:rsidP="00CC1B0F">
                            <w:pPr>
                              <w:jc w:val="left"/>
                              <w:textDirection w:val="btLr"/>
                            </w:pPr>
                            <w:r>
                              <w:t xml:space="preserve"> </w:t>
                            </w:r>
                          </w:p>
                        </w:txbxContent>
                      </v:textbox>
                    </v:rect>
                    <v:shape id="Forma libre 5" o:spid="_x0000_s1039"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40"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">
                      <v:imagedata r:id="rId27" o:title=""/>
                    </v:shape>
                  </v:group>
                </v:group>
                <w10:anchorlock/>
              </v:group>
            </w:pict>
          </mc:Fallback>
        </mc:AlternateContent>
      </w:r>
    </w:p>
    <w:p w14:paraId="35366B0B" w14:textId="77777777" w:rsidR="00F3616E" w:rsidRDefault="00F3616E">
      <w:pPr>
        <w:pBdr>
          <w:top w:val="nil"/>
          <w:left w:val="nil"/>
          <w:bottom w:val="nil"/>
          <w:right w:val="nil"/>
          <w:between w:val="nil"/>
        </w:pBdr>
        <w:spacing w:after="120"/>
        <w:ind w:left="360"/>
        <w:rPr>
          <w:color w:val="000000"/>
          <w:szCs w:val="20"/>
        </w:rPr>
      </w:pPr>
    </w:p>
    <w:p w14:paraId="03B56535" w14:textId="77777777" w:rsidR="00CC1B0F" w:rsidRDefault="00CC1B0F">
      <w:pPr>
        <w:pBdr>
          <w:top w:val="nil"/>
          <w:left w:val="nil"/>
          <w:bottom w:val="nil"/>
          <w:right w:val="nil"/>
          <w:between w:val="nil"/>
        </w:pBdr>
        <w:spacing w:after="120"/>
        <w:ind w:left="360"/>
        <w:rPr>
          <w:color w:val="000000"/>
          <w:szCs w:val="20"/>
        </w:rPr>
        <w:sectPr w:rsidR="00CC1B0F">
          <w:type w:val="continuous"/>
          <w:pgSz w:w="11906" w:h="16838"/>
          <w:pgMar w:top="1531" w:right="1701" w:bottom="1418" w:left="1701" w:header="709" w:footer="709" w:gutter="0"/>
          <w:pgNumType w:start="18"/>
          <w:cols w:num="2" w:space="720" w:equalWidth="0">
            <w:col w:w="3891" w:space="720"/>
            <w:col w:w="3891" w:space="0"/>
          </w:cols>
          <w:titlePg/>
        </w:sectPr>
      </w:pPr>
      <w:r>
        <w:rPr>
          <w:color w:val="000000"/>
          <w:szCs w:val="20"/>
        </w:rPr>
        <w:t xml:space="preserve">      </w:t>
      </w:r>
    </w:p>
    <w:p w14:paraId="60F85E6B" w14:textId="77777777" w:rsidR="00EE3FF7" w:rsidRDefault="00CC1B0F" w:rsidP="00623F02">
      <w:pPr>
        <w:rPr>
          <w:rFonts w:ascii="Arial" w:eastAsia="Arial" w:hAnsi="Arial" w:cs="Arial"/>
          <w:b/>
        </w:rPr>
      </w:pPr>
      <w:r>
        <w:rPr>
          <w:rFonts w:ascii="Arial" w:eastAsia="Arial" w:hAnsi="Arial" w:cs="Arial"/>
          <w:b/>
        </w:rPr>
        <w:lastRenderedPageBreak/>
        <w:t xml:space="preserve"> </w:t>
      </w:r>
    </w:p>
    <w:p w14:paraId="334B299B" w14:textId="77777777" w:rsidR="00521B15" w:rsidRDefault="00521B15" w:rsidP="00623F02">
      <w:pPr>
        <w:rPr>
          <w:rFonts w:ascii="Arial" w:eastAsia="Arial" w:hAnsi="Arial" w:cs="Arial"/>
          <w:b/>
        </w:rPr>
      </w:pPr>
    </w:p>
    <w:p w14:paraId="6587E703" w14:textId="77777777" w:rsidR="00521B15" w:rsidRDefault="000762E9" w:rsidP="00623F02">
      <w:pPr>
        <w:rPr>
          <w:rFonts w:ascii="Arial" w:eastAsia="Arial" w:hAnsi="Arial" w:cs="Arial"/>
          <w:b/>
        </w:rPr>
      </w:pPr>
      <w:r>
        <w:rPr>
          <w:noProof/>
          <w:lang w:val="en-US" w:eastAsia="en-US"/>
        </w:rPr>
        <mc:AlternateContent>
          <mc:Choice Requires="wps">
            <w:drawing>
              <wp:anchor distT="0" distB="0" distL="114300" distR="114300" simplePos="0" relativeHeight="251707392" behindDoc="0" locked="0" layoutInCell="1" hidden="0" allowOverlap="1" wp14:anchorId="67851572" wp14:editId="7794B0FE">
                <wp:simplePos x="0" y="0"/>
                <wp:positionH relativeFrom="rightMargin">
                  <wp:posOffset>206375</wp:posOffset>
                </wp:positionH>
                <wp:positionV relativeFrom="paragraph">
                  <wp:posOffset>1803400</wp:posOffset>
                </wp:positionV>
                <wp:extent cx="456565" cy="400685"/>
                <wp:effectExtent l="0" t="0" r="19685" b="18415"/>
                <wp:wrapNone/>
                <wp:docPr id="21" name="Rectángulo 21"/>
                <wp:cNvGraphicFramePr/>
                <a:graphic xmlns:a="http://schemas.openxmlformats.org/drawingml/2006/main">
                  <a:graphicData uri="http://schemas.microsoft.com/office/word/2010/wordprocessingShape">
                    <wps:wsp>
                      <wps:cNvSpPr/>
                      <wps:spPr>
                        <a:xfrm flipH="1">
                          <a:off x="0" y="0"/>
                          <a:ext cx="456565" cy="400685"/>
                        </a:xfrm>
                        <a:prstGeom prst="rect">
                          <a:avLst/>
                        </a:prstGeom>
                        <a:solidFill>
                          <a:srgbClr val="509D2F"/>
                        </a:solidFill>
                        <a:ln w="9525" cap="flat" cmpd="sng">
                          <a:solidFill>
                            <a:srgbClr val="000000"/>
                          </a:solidFill>
                          <a:prstDash val="solid"/>
                          <a:round/>
                          <a:headEnd type="none" w="sm" len="sm"/>
                          <a:tailEnd type="none" w="sm" len="sm"/>
                        </a:ln>
                      </wps:spPr>
                      <wps:txbx>
                        <w:txbxContent>
                          <w:p w14:paraId="1650F5B9" w14:textId="3D0915A1" w:rsidR="00CC1B0F" w:rsidRPr="00E312BC" w:rsidRDefault="003F7F94" w:rsidP="00CC1B0F">
                            <w:pPr>
                              <w:jc w:val="center"/>
                              <w:textDirection w:val="btLr"/>
                              <w:rPr>
                                <w:b/>
                                <w:color w:val="FFFFFF"/>
                                <w:sz w:val="24"/>
                                <w:lang w:val="es-MX"/>
                              </w:rPr>
                            </w:pPr>
                            <w:r>
                              <w:rPr>
                                <w:b/>
                                <w:color w:val="FFFFFF"/>
                                <w:sz w:val="24"/>
                                <w:lang w:val="es-MX"/>
                              </w:rPr>
                              <w:t>14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851572" id="Rectángulo 21" o:spid="_x0000_s1040" style="position:absolute;left:0;text-align:left;margin-left:16.25pt;margin-top:142pt;width:35.95pt;height:31.55pt;flip:x;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" fillcolor="#509d2f">
                <v:stroke startarrowwidth="narrow" startarrowlength="short" endarrowwidth="narrow" endarrowlength="short" joinstyle="round"/>
                <v:textbox inset="2.53958mm,1.2694mm,2.53958mm,1.2694mm">
                  <w:txbxContent>
                    <w:p w14:paraId="1650F5B9" w14:textId="3D0915A1" w:rsidR="00CC1B0F" w:rsidRPr="00E312BC" w:rsidRDefault="003F7F94" w:rsidP="00CC1B0F">
                      <w:pPr>
                        <w:jc w:val="center"/>
                        <w:textDirection w:val="btLr"/>
                        <w:rPr>
                          <w:b/>
                          <w:color w:val="FFFFFF"/>
                          <w:sz w:val="24"/>
                          <w:lang w:val="es-MX"/>
                        </w:rPr>
                      </w:pPr>
                      <w:r>
                        <w:rPr>
                          <w:b/>
                          <w:color w:val="FFFFFF"/>
                          <w:sz w:val="24"/>
                          <w:lang w:val="es-MX"/>
                        </w:rPr>
                        <w:t>14</w:t>
                      </w:r>
                    </w:p>
                  </w:txbxContent>
                </v:textbox>
                <w10:wrap anchorx="margin"/>
              </v:rect>
            </w:pict>
          </mc:Fallback>
        </mc:AlternateContent>
      </w:r>
      <w:r w:rsidR="00126475">
        <w:rPr>
          <w:noProof/>
          <w:lang w:val="en-US" w:eastAsia="en-US"/>
        </w:rPr>
        <mc:AlternateContent>
          <mc:Choice Requires="wps">
            <w:drawing>
              <wp:anchor distT="0" distB="0" distL="114300" distR="114300" simplePos="0" relativeHeight="251705344" behindDoc="0" locked="0" layoutInCell="1" hidden="0" allowOverlap="1" wp14:anchorId="1E5706C6" wp14:editId="0BAB8F35">
                <wp:simplePos x="0" y="0"/>
                <wp:positionH relativeFrom="rightMargin">
                  <wp:posOffset>274320</wp:posOffset>
                </wp:positionH>
                <wp:positionV relativeFrom="paragraph">
                  <wp:posOffset>2764304</wp:posOffset>
                </wp:positionV>
                <wp:extent cx="381000" cy="318247"/>
                <wp:effectExtent l="0" t="0" r="19050" b="24765"/>
                <wp:wrapNone/>
                <wp:docPr id="12" name="Rectángulo 12"/>
                <wp:cNvGraphicFramePr/>
                <a:graphic xmlns:a="http://schemas.openxmlformats.org/drawingml/2006/main">
                  <a:graphicData uri="http://schemas.microsoft.com/office/word/2010/wordprocessingShape">
                    <wps:wsp>
                      <wps:cNvSpPr/>
                      <wps:spPr>
                        <a:xfrm flipH="1">
                          <a:off x="0" y="0"/>
                          <a:ext cx="381000" cy="318247"/>
                        </a:xfrm>
                        <a:prstGeom prst="rect">
                          <a:avLst/>
                        </a:prstGeom>
                        <a:solidFill>
                          <a:srgbClr val="509D2F"/>
                        </a:solidFill>
                        <a:ln w="9525" cap="flat" cmpd="sng">
                          <a:solidFill>
                            <a:srgbClr val="000000"/>
                          </a:solidFill>
                          <a:prstDash val="solid"/>
                          <a:round/>
                          <a:headEnd type="none" w="sm" len="sm"/>
                          <a:tailEnd type="none" w="sm" len="sm"/>
                        </a:ln>
                      </wps:spPr>
                      <wps:txbx>
                        <w:txbxContent>
                          <w:p w14:paraId="0EBCDF56" w14:textId="77777777" w:rsidR="00DB32EF" w:rsidRPr="00E312BC" w:rsidRDefault="00027D33" w:rsidP="00DB32EF">
                            <w:pPr>
                              <w:jc w:val="center"/>
                              <w:textDirection w:val="btLr"/>
                              <w:rPr>
                                <w:b/>
                                <w:color w:val="FFFFFF"/>
                                <w:sz w:val="24"/>
                                <w:lang w:val="es-MX"/>
                              </w:rPr>
                            </w:pPr>
                            <w:r>
                              <w:rPr>
                                <w:b/>
                                <w:color w:val="FFFFFF"/>
                                <w:sz w:val="24"/>
                                <w:lang w:val="es-MX"/>
                              </w:rPr>
                              <w:t>xx</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B85A79" id="Rectángulo 12" o:spid="_x0000_s1042" style="position:absolute;left:0;text-align:left;margin-left:21.6pt;margin-top:217.65pt;width:30pt;height:25.05pt;flip:x;z-index:25170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" fillcolor="#509d2f">
                <v:stroke startarrowwidth="narrow" startarrowlength="short" endarrowwidth="narrow" endarrowlength="short" joinstyle="round"/>
                <v:textbox inset="2.53958mm,1.2694mm,2.53958mm,1.2694mm">
                  <w:txbxContent>
                    <w:p w:rsidR="00DB32EF" w:rsidRPr="00E312BC" w:rsidRDefault="00027D33" w:rsidP="00DB32EF">
                      <w:pPr>
                        <w:jc w:val="center"/>
                        <w:textDirection w:val="btLr"/>
                        <w:rPr>
                          <w:b/>
                          <w:color w:val="FFFFFF"/>
                          <w:sz w:val="24"/>
                          <w:lang w:val="es-MX"/>
                        </w:rPr>
                      </w:pPr>
                      <w:proofErr w:type="spellStart"/>
                      <w:r>
                        <w:rPr>
                          <w:b/>
                          <w:color w:val="FFFFFF"/>
                          <w:sz w:val="24"/>
                          <w:lang w:val="es-MX"/>
                        </w:rPr>
                        <w:t>xx</w:t>
                      </w:r>
                      <w:proofErr w:type="spellEnd"/>
                    </w:p>
                  </w:txbxContent>
                </v:textbox>
                <w10:wrap anchorx="margin"/>
              </v:rect>
            </w:pict>
          </mc:Fallback>
        </mc:AlternateContent>
      </w:r>
    </w:p>
    <w:sectPr w:rsidR="00521B15" w:rsidSect="0070397D">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8276B" w14:textId="77777777" w:rsidR="000E593A" w:rsidRDefault="000E593A">
      <w:r>
        <w:separator/>
      </w:r>
    </w:p>
  </w:endnote>
  <w:endnote w:type="continuationSeparator" w:id="0">
    <w:p w14:paraId="0475F839" w14:textId="77777777" w:rsidR="000E593A" w:rsidRDefault="000E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1E956" w14:textId="77777777" w:rsidR="00F3616E" w:rsidRDefault="00F3616E">
    <w:pPr>
      <w:widowControl w:val="0"/>
      <w:pBdr>
        <w:top w:val="nil"/>
        <w:left w:val="nil"/>
        <w:bottom w:val="nil"/>
        <w:right w:val="nil"/>
        <w:between w:val="nil"/>
      </w:pBdr>
      <w:spacing w:line="276" w:lineRule="auto"/>
      <w:jc w:val="left"/>
      <w:rPr>
        <w:color w:val="000000"/>
      </w:rPr>
    </w:pPr>
  </w:p>
  <w:tbl>
    <w:tblPr>
      <w:tblStyle w:val="ae"/>
      <w:tblW w:w="7797" w:type="dxa"/>
      <w:tblInd w:w="0" w:type="dxa"/>
      <w:tblLayout w:type="fixed"/>
      <w:tblLook w:val="0400" w:firstRow="0" w:lastRow="0" w:firstColumn="0" w:lastColumn="0" w:noHBand="0" w:noVBand="1"/>
    </w:tblPr>
    <w:tblGrid>
      <w:gridCol w:w="7797"/>
    </w:tblGrid>
    <w:tr w:rsidR="00F3616E" w14:paraId="4938DE08" w14:textId="77777777">
      <w:tc>
        <w:tcPr>
          <w:tcW w:w="7797" w:type="dxa"/>
          <w:tcBorders>
            <w:top w:val="single" w:sz="4" w:space="0" w:color="000000"/>
          </w:tcBorders>
        </w:tcPr>
        <w:p w14:paraId="7E316D3E" w14:textId="7B1EAD5C"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w:t>
          </w:r>
          <w:r w:rsidR="00413142">
            <w:rPr>
              <w:rFonts w:ascii="Arial" w:eastAsia="Arial" w:hAnsi="Arial" w:cs="Arial"/>
              <w:color w:val="000000"/>
              <w:sz w:val="16"/>
              <w:szCs w:val="16"/>
            </w:rPr>
            <w:t>202</w:t>
          </w:r>
          <w:r w:rsidR="00521B15">
            <w:rPr>
              <w:rFonts w:ascii="Arial" w:eastAsia="Arial" w:hAnsi="Arial" w:cs="Arial"/>
              <w:color w:val="000000"/>
              <w:sz w:val="16"/>
              <w:szCs w:val="16"/>
            </w:rPr>
            <w:t>4</w:t>
          </w:r>
          <w:r w:rsidR="00413142">
            <w:rPr>
              <w:rFonts w:ascii="Arial" w:eastAsia="Arial" w:hAnsi="Arial" w:cs="Arial"/>
              <w:color w:val="000000"/>
              <w:sz w:val="16"/>
              <w:szCs w:val="16"/>
            </w:rPr>
            <w:t>;</w:t>
          </w:r>
          <w:r w:rsidR="00521B15">
            <w:rPr>
              <w:rFonts w:ascii="Arial" w:eastAsia="Arial" w:hAnsi="Arial" w:cs="Arial"/>
              <w:color w:val="000000"/>
              <w:sz w:val="16"/>
              <w:szCs w:val="16"/>
            </w:rPr>
            <w:t>9</w:t>
          </w:r>
          <w:r w:rsidR="00413142">
            <w:rPr>
              <w:rFonts w:ascii="Arial" w:eastAsia="Arial" w:hAnsi="Arial" w:cs="Arial"/>
              <w:color w:val="000000"/>
              <w:sz w:val="16"/>
              <w:szCs w:val="16"/>
            </w:rPr>
            <w:t>(</w:t>
          </w:r>
          <w:r w:rsidR="008A28E4">
            <w:rPr>
              <w:rFonts w:ascii="Arial" w:eastAsia="Arial" w:hAnsi="Arial" w:cs="Arial"/>
              <w:color w:val="000000"/>
              <w:sz w:val="16"/>
              <w:szCs w:val="16"/>
            </w:rPr>
            <w:t>2</w:t>
          </w:r>
          <w:r w:rsidR="00413142">
            <w:rPr>
              <w:rFonts w:ascii="Arial" w:eastAsia="Arial" w:hAnsi="Arial" w:cs="Arial"/>
              <w:color w:val="000000"/>
              <w:sz w:val="16"/>
              <w:szCs w:val="16"/>
            </w:rPr>
            <w:t>):</w:t>
          </w:r>
          <w:r w:rsidR="003F7F94">
            <w:rPr>
              <w:rFonts w:ascii="Arial" w:eastAsia="Arial" w:hAnsi="Arial" w:cs="Arial"/>
              <w:color w:val="000000"/>
              <w:sz w:val="16"/>
              <w:szCs w:val="16"/>
            </w:rPr>
            <w:t>08-14.</w:t>
          </w:r>
        </w:p>
      </w:tc>
    </w:tr>
  </w:tbl>
  <w:p w14:paraId="25AAB226" w14:textId="77777777" w:rsidR="00F3616E" w:rsidRDefault="00F3616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79C94" w14:textId="77777777" w:rsidR="00F3616E" w:rsidRDefault="00F3616E">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d"/>
      <w:tblW w:w="7797" w:type="dxa"/>
      <w:tblInd w:w="0" w:type="dxa"/>
      <w:tblLayout w:type="fixed"/>
      <w:tblLook w:val="0400" w:firstRow="0" w:lastRow="0" w:firstColumn="0" w:lastColumn="0" w:noHBand="0" w:noVBand="1"/>
    </w:tblPr>
    <w:tblGrid>
      <w:gridCol w:w="7797"/>
    </w:tblGrid>
    <w:tr w:rsidR="00F3616E" w14:paraId="3C22206E" w14:textId="77777777">
      <w:tc>
        <w:tcPr>
          <w:tcW w:w="7797" w:type="dxa"/>
          <w:tcBorders>
            <w:top w:val="single" w:sz="4" w:space="0" w:color="000000"/>
          </w:tcBorders>
        </w:tcPr>
        <w:p w14:paraId="434EABD0" w14:textId="1F46D963"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w:t>
          </w:r>
          <w:r w:rsidR="00413142">
            <w:rPr>
              <w:rFonts w:ascii="Arial" w:eastAsia="Arial" w:hAnsi="Arial" w:cs="Arial"/>
              <w:color w:val="000000"/>
              <w:sz w:val="16"/>
              <w:szCs w:val="16"/>
            </w:rPr>
            <w:t>202</w:t>
          </w:r>
          <w:r w:rsidR="00172EA0">
            <w:rPr>
              <w:rFonts w:ascii="Arial" w:eastAsia="Arial" w:hAnsi="Arial" w:cs="Arial"/>
              <w:color w:val="000000"/>
              <w:sz w:val="16"/>
              <w:szCs w:val="16"/>
            </w:rPr>
            <w:t>4</w:t>
          </w:r>
          <w:r w:rsidR="00413142">
            <w:rPr>
              <w:rFonts w:ascii="Arial" w:eastAsia="Arial" w:hAnsi="Arial" w:cs="Arial"/>
              <w:color w:val="000000"/>
              <w:sz w:val="16"/>
              <w:szCs w:val="16"/>
            </w:rPr>
            <w:t>;</w:t>
          </w:r>
          <w:r w:rsidR="00172EA0">
            <w:rPr>
              <w:rFonts w:ascii="Arial" w:eastAsia="Arial" w:hAnsi="Arial" w:cs="Arial"/>
              <w:color w:val="000000"/>
              <w:sz w:val="16"/>
              <w:szCs w:val="16"/>
            </w:rPr>
            <w:t>9</w:t>
          </w:r>
          <w:r w:rsidR="00413142">
            <w:rPr>
              <w:rFonts w:ascii="Arial" w:eastAsia="Arial" w:hAnsi="Arial" w:cs="Arial"/>
              <w:color w:val="000000"/>
              <w:sz w:val="16"/>
              <w:szCs w:val="16"/>
            </w:rPr>
            <w:t>(</w:t>
          </w:r>
          <w:r w:rsidR="008A28E4">
            <w:rPr>
              <w:rFonts w:ascii="Arial" w:eastAsia="Arial" w:hAnsi="Arial" w:cs="Arial"/>
              <w:color w:val="000000"/>
              <w:sz w:val="16"/>
              <w:szCs w:val="16"/>
            </w:rPr>
            <w:t>2</w:t>
          </w:r>
          <w:r w:rsidR="00413142">
            <w:rPr>
              <w:rFonts w:ascii="Arial" w:eastAsia="Arial" w:hAnsi="Arial" w:cs="Arial"/>
              <w:color w:val="000000"/>
              <w:sz w:val="16"/>
              <w:szCs w:val="16"/>
            </w:rPr>
            <w:t>):</w:t>
          </w:r>
          <w:r w:rsidR="003F7F94">
            <w:rPr>
              <w:rFonts w:ascii="Arial" w:eastAsia="Arial" w:hAnsi="Arial" w:cs="Arial"/>
              <w:color w:val="000000"/>
              <w:sz w:val="16"/>
              <w:szCs w:val="16"/>
            </w:rPr>
            <w:t>08-14.</w:t>
          </w:r>
        </w:p>
      </w:tc>
    </w:tr>
  </w:tbl>
  <w:p w14:paraId="0442FBF3" w14:textId="77777777" w:rsidR="00F3616E" w:rsidRDefault="00F3616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4A12F" w14:textId="77777777" w:rsidR="000E593A" w:rsidRDefault="000E593A">
      <w:r>
        <w:separator/>
      </w:r>
    </w:p>
  </w:footnote>
  <w:footnote w:type="continuationSeparator" w:id="0">
    <w:p w14:paraId="2F13D40B" w14:textId="77777777" w:rsidR="000E593A" w:rsidRDefault="000E59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1782E" w14:textId="77777777" w:rsidR="00F3616E" w:rsidRDefault="007D2A2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F98B7" w14:textId="77777777" w:rsidR="00F3616E" w:rsidRDefault="007D2A25">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39ED5D5B" wp14:editId="62232BD2">
          <wp:extent cx="4143427" cy="1136664"/>
          <wp:effectExtent l="0" t="0" r="0" b="0"/>
          <wp:docPr id="1085" name="image8.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8.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1B326FB6" w14:textId="77777777" w:rsidR="00F3616E" w:rsidRDefault="00F3616E">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CEDD" w14:textId="77777777" w:rsidR="00F3616E" w:rsidRDefault="00F3616E">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97253" w14:textId="77777777" w:rsidR="00F3616E" w:rsidRPr="00D83004" w:rsidRDefault="00D83004">
    <w:pPr>
      <w:pBdr>
        <w:top w:val="nil"/>
        <w:left w:val="nil"/>
        <w:bottom w:val="nil"/>
        <w:right w:val="nil"/>
        <w:between w:val="nil"/>
      </w:pBdr>
      <w:tabs>
        <w:tab w:val="center" w:pos="4419"/>
        <w:tab w:val="right" w:pos="8838"/>
      </w:tabs>
      <w:rPr>
        <w:rFonts w:ascii="Arial" w:eastAsia="Arial" w:hAnsi="Arial" w:cs="Arial"/>
        <w:i/>
        <w:sz w:val="16"/>
        <w:szCs w:val="16"/>
        <w:lang w:val="en-US"/>
      </w:rPr>
    </w:pPr>
    <w:r w:rsidRPr="00607E7D">
      <w:rPr>
        <w:rFonts w:ascii="Arial" w:eastAsia="Arial" w:hAnsi="Arial" w:cs="Arial"/>
        <w:sz w:val="16"/>
        <w:szCs w:val="16"/>
        <w:lang w:val="en-US"/>
      </w:rPr>
      <w:t>Pérez</w:t>
    </w:r>
    <w:r w:rsidR="006E46A5" w:rsidRPr="00607E7D">
      <w:rPr>
        <w:rFonts w:ascii="Arial" w:eastAsia="Arial" w:hAnsi="Arial" w:cs="Arial"/>
        <w:sz w:val="16"/>
        <w:szCs w:val="16"/>
        <w:lang w:val="en-US"/>
      </w:rPr>
      <w:t xml:space="preserve"> H</w:t>
    </w:r>
    <w:r w:rsidR="00F54161" w:rsidRPr="00607E7D">
      <w:rPr>
        <w:rFonts w:ascii="Arial" w:eastAsia="Arial" w:hAnsi="Arial" w:cs="Arial"/>
        <w:sz w:val="16"/>
        <w:szCs w:val="16"/>
        <w:lang w:val="en-US"/>
      </w:rPr>
      <w:t>,</w:t>
    </w:r>
    <w:r w:rsidR="006E46A5" w:rsidRPr="00607E7D">
      <w:rPr>
        <w:rFonts w:ascii="Arial" w:eastAsia="Arial" w:hAnsi="Arial" w:cs="Arial"/>
        <w:sz w:val="16"/>
        <w:szCs w:val="16"/>
        <w:lang w:val="en-US"/>
      </w:rPr>
      <w:t xml:space="preserve"> </w:t>
    </w:r>
    <w:proofErr w:type="spellStart"/>
    <w:r w:rsidR="006E46A5" w:rsidRPr="00607E7D">
      <w:rPr>
        <w:rFonts w:ascii="Arial" w:eastAsia="Arial" w:hAnsi="Arial" w:cs="Arial"/>
        <w:sz w:val="16"/>
        <w:szCs w:val="16"/>
        <w:lang w:val="en-US"/>
      </w:rPr>
      <w:t>Majul</w:t>
    </w:r>
    <w:proofErr w:type="spellEnd"/>
    <w:r w:rsidRPr="00607E7D">
      <w:rPr>
        <w:rFonts w:ascii="Arial" w:eastAsia="Arial" w:hAnsi="Arial" w:cs="Arial"/>
        <w:sz w:val="16"/>
        <w:szCs w:val="16"/>
        <w:lang w:val="en-US"/>
      </w:rPr>
      <w:t xml:space="preserve"> E, </w:t>
    </w:r>
    <w:proofErr w:type="spellStart"/>
    <w:r w:rsidRPr="00607E7D">
      <w:rPr>
        <w:rFonts w:ascii="Arial" w:eastAsia="Arial" w:hAnsi="Arial" w:cs="Arial"/>
        <w:sz w:val="16"/>
        <w:szCs w:val="16"/>
        <w:lang w:val="en-US"/>
      </w:rPr>
      <w:t>Oliszynsky</w:t>
    </w:r>
    <w:proofErr w:type="spellEnd"/>
    <w:r w:rsidRPr="00607E7D">
      <w:rPr>
        <w:rFonts w:ascii="Arial" w:eastAsia="Arial" w:hAnsi="Arial" w:cs="Arial"/>
        <w:sz w:val="16"/>
        <w:szCs w:val="16"/>
        <w:lang w:val="en-US"/>
      </w:rPr>
      <w:t xml:space="preserve"> </w:t>
    </w:r>
    <w:r w:rsidR="00607E7D" w:rsidRPr="00607E7D">
      <w:rPr>
        <w:rFonts w:ascii="Arial" w:eastAsia="Arial" w:hAnsi="Arial" w:cs="Arial"/>
        <w:sz w:val="16"/>
        <w:szCs w:val="16"/>
        <w:lang w:val="en-US"/>
      </w:rPr>
      <w:t>A L, Delia A</w:t>
    </w:r>
    <w:r w:rsidRPr="00607E7D">
      <w:rPr>
        <w:rFonts w:ascii="Arial" w:eastAsia="Arial" w:hAnsi="Arial" w:cs="Arial"/>
        <w:sz w:val="16"/>
        <w:szCs w:val="16"/>
        <w:lang w:val="en-US"/>
      </w:rPr>
      <w:t xml:space="preserve">, </w:t>
    </w:r>
    <w:proofErr w:type="spellStart"/>
    <w:r w:rsidRPr="00607E7D">
      <w:rPr>
        <w:rFonts w:ascii="Arial" w:eastAsia="Arial" w:hAnsi="Arial" w:cs="Arial"/>
        <w:sz w:val="16"/>
        <w:szCs w:val="16"/>
        <w:lang w:val="en-US"/>
      </w:rPr>
      <w:t>Bochetto</w:t>
    </w:r>
    <w:proofErr w:type="spellEnd"/>
    <w:r w:rsidRPr="00607E7D">
      <w:rPr>
        <w:rFonts w:ascii="Arial" w:eastAsia="Arial" w:hAnsi="Arial" w:cs="Arial"/>
        <w:sz w:val="16"/>
        <w:szCs w:val="16"/>
        <w:lang w:val="en-US"/>
      </w:rPr>
      <w:t xml:space="preserve"> </w:t>
    </w:r>
    <w:r w:rsidR="00607E7D" w:rsidRPr="00607E7D">
      <w:rPr>
        <w:rFonts w:ascii="Arial" w:eastAsia="Arial" w:hAnsi="Arial" w:cs="Arial"/>
        <w:sz w:val="16"/>
        <w:szCs w:val="16"/>
        <w:lang w:val="en-US"/>
      </w:rPr>
      <w:t>D</w:t>
    </w:r>
    <w:r w:rsidRPr="00607E7D">
      <w:rPr>
        <w:rFonts w:ascii="Arial" w:eastAsia="Arial" w:hAnsi="Arial" w:cs="Arial"/>
        <w:sz w:val="16"/>
        <w:szCs w:val="16"/>
        <w:lang w:val="en-US"/>
      </w:rPr>
      <w:t xml:space="preserve">, </w:t>
    </w:r>
    <w:proofErr w:type="spellStart"/>
    <w:r w:rsidRPr="00607E7D">
      <w:rPr>
        <w:rFonts w:ascii="Arial" w:eastAsia="Arial" w:hAnsi="Arial" w:cs="Arial"/>
        <w:sz w:val="16"/>
        <w:szCs w:val="16"/>
        <w:lang w:val="en-US"/>
      </w:rPr>
      <w:t>Albrech</w:t>
    </w:r>
    <w:proofErr w:type="spellEnd"/>
    <w:r w:rsidR="00607E7D" w:rsidRPr="00607E7D">
      <w:rPr>
        <w:rFonts w:ascii="Arial" w:eastAsia="Arial" w:hAnsi="Arial" w:cs="Arial"/>
        <w:sz w:val="16"/>
        <w:szCs w:val="16"/>
        <w:lang w:val="en-US"/>
      </w:rPr>
      <w:t xml:space="preserve"> C</w:t>
    </w:r>
    <w:r w:rsidRPr="00607E7D">
      <w:rPr>
        <w:rFonts w:ascii="Arial" w:eastAsia="Arial" w:hAnsi="Arial" w:cs="Arial"/>
        <w:sz w:val="16"/>
        <w:szCs w:val="16"/>
        <w:lang w:val="en-US"/>
      </w:rPr>
      <w:t>, Baez</w:t>
    </w:r>
    <w:r w:rsidR="00607E7D" w:rsidRPr="00607E7D">
      <w:rPr>
        <w:rFonts w:ascii="Arial" w:eastAsia="Arial" w:hAnsi="Arial" w:cs="Arial"/>
        <w:sz w:val="16"/>
        <w:szCs w:val="16"/>
        <w:lang w:val="en-US"/>
      </w:rPr>
      <w:t xml:space="preserve"> I M</w:t>
    </w:r>
    <w:r w:rsidRPr="00607E7D">
      <w:rPr>
        <w:rFonts w:ascii="Arial" w:eastAsia="Arial" w:hAnsi="Arial" w:cs="Arial"/>
        <w:sz w:val="16"/>
        <w:szCs w:val="16"/>
        <w:lang w:val="en-US"/>
      </w:rPr>
      <w:t xml:space="preserve">, </w:t>
    </w:r>
    <w:proofErr w:type="spellStart"/>
    <w:r w:rsidRPr="00607E7D">
      <w:rPr>
        <w:rFonts w:ascii="Arial" w:eastAsia="Arial" w:hAnsi="Arial" w:cs="Arial"/>
        <w:sz w:val="16"/>
        <w:szCs w:val="16"/>
        <w:lang w:val="en-US"/>
      </w:rPr>
      <w:t>Foa</w:t>
    </w:r>
    <w:proofErr w:type="spellEnd"/>
    <w:r w:rsidRPr="00607E7D">
      <w:rPr>
        <w:rFonts w:ascii="Arial" w:eastAsia="Arial" w:hAnsi="Arial" w:cs="Arial"/>
        <w:sz w:val="16"/>
        <w:szCs w:val="16"/>
        <w:lang w:val="en-US"/>
      </w:rPr>
      <w:t xml:space="preserve"> Torres</w:t>
    </w:r>
    <w:r w:rsidR="00607E7D" w:rsidRPr="00607E7D">
      <w:rPr>
        <w:rFonts w:ascii="Arial" w:eastAsia="Arial" w:hAnsi="Arial" w:cs="Arial"/>
        <w:sz w:val="16"/>
        <w:szCs w:val="16"/>
        <w:lang w:val="en-US"/>
      </w:rPr>
      <w:t xml:space="preserve"> I</w:t>
    </w:r>
    <w:r w:rsidRPr="00607E7D">
      <w:rPr>
        <w:rFonts w:ascii="Arial" w:eastAsia="Arial" w:hAnsi="Arial" w:cs="Arial"/>
        <w:sz w:val="16"/>
        <w:szCs w:val="16"/>
        <w:lang w:val="en-US"/>
      </w:rPr>
      <w:t>, González Rinaldi</w:t>
    </w:r>
    <w:r w:rsidR="00607E7D" w:rsidRPr="00607E7D">
      <w:rPr>
        <w:rFonts w:ascii="Arial" w:eastAsia="Arial" w:hAnsi="Arial" w:cs="Arial"/>
        <w:sz w:val="16"/>
        <w:szCs w:val="16"/>
        <w:lang w:val="en-US"/>
      </w:rPr>
      <w:t xml:space="preserve"> L M</w:t>
    </w:r>
    <w:r w:rsidRPr="00607E7D">
      <w:rPr>
        <w:rFonts w:ascii="Arial" w:eastAsia="Arial" w:hAnsi="Arial" w:cs="Arial"/>
        <w:sz w:val="16"/>
        <w:szCs w:val="16"/>
        <w:lang w:val="en-US"/>
      </w:rPr>
      <w:t xml:space="preserve">, </w:t>
    </w:r>
    <w:proofErr w:type="spellStart"/>
    <w:r w:rsidRPr="00607E7D">
      <w:rPr>
        <w:rFonts w:ascii="Arial" w:eastAsia="Arial" w:hAnsi="Arial" w:cs="Arial"/>
        <w:sz w:val="16"/>
        <w:szCs w:val="16"/>
        <w:lang w:val="en-US"/>
      </w:rPr>
      <w:t>Lambrechts</w:t>
    </w:r>
    <w:proofErr w:type="spellEnd"/>
    <w:r w:rsidR="00607E7D" w:rsidRPr="00607E7D">
      <w:rPr>
        <w:rFonts w:ascii="Arial" w:eastAsia="Arial" w:hAnsi="Arial" w:cs="Arial"/>
        <w:sz w:val="16"/>
        <w:szCs w:val="16"/>
        <w:lang w:val="en-US"/>
      </w:rPr>
      <w:t xml:space="preserve"> S</w:t>
    </w:r>
    <w:r w:rsidRPr="00607E7D">
      <w:rPr>
        <w:rFonts w:ascii="Arial" w:eastAsia="Arial" w:hAnsi="Arial" w:cs="Arial"/>
        <w:sz w:val="16"/>
        <w:szCs w:val="16"/>
        <w:lang w:val="en-US"/>
      </w:rPr>
      <w:t>, Muñoz</w:t>
    </w:r>
    <w:r w:rsidR="00607E7D" w:rsidRPr="00607E7D">
      <w:rPr>
        <w:rFonts w:ascii="Arial" w:eastAsia="Arial" w:hAnsi="Arial" w:cs="Arial"/>
        <w:sz w:val="16"/>
        <w:szCs w:val="16"/>
        <w:lang w:val="en-US"/>
      </w:rPr>
      <w:t xml:space="preserve"> S</w:t>
    </w:r>
    <w:r w:rsidRPr="00607E7D">
      <w:rPr>
        <w:rFonts w:ascii="Arial" w:eastAsia="Arial" w:hAnsi="Arial" w:cs="Arial"/>
        <w:sz w:val="16"/>
        <w:szCs w:val="16"/>
        <w:lang w:val="en-US"/>
      </w:rPr>
      <w:t>, Carrillo</w:t>
    </w:r>
    <w:r w:rsidR="00607E7D" w:rsidRPr="00607E7D">
      <w:rPr>
        <w:rFonts w:ascii="Arial" w:eastAsia="Arial" w:hAnsi="Arial" w:cs="Arial"/>
        <w:sz w:val="16"/>
        <w:szCs w:val="16"/>
        <w:lang w:val="en-US"/>
      </w:rPr>
      <w:t xml:space="preserve"> M</w:t>
    </w:r>
    <w:r w:rsidRPr="00607E7D">
      <w:rPr>
        <w:rFonts w:ascii="Arial" w:eastAsia="Arial" w:hAnsi="Arial" w:cs="Arial"/>
        <w:sz w:val="16"/>
        <w:szCs w:val="16"/>
        <w:lang w:val="en-US"/>
      </w:rPr>
      <w:t>, Spence</w:t>
    </w:r>
    <w:r w:rsidR="00607E7D" w:rsidRPr="00607E7D">
      <w:rPr>
        <w:rFonts w:ascii="Arial" w:eastAsia="Arial" w:hAnsi="Arial" w:cs="Arial"/>
        <w:sz w:val="16"/>
        <w:szCs w:val="16"/>
        <w:lang w:val="en-US"/>
      </w:rPr>
      <w:t xml:space="preserve"> D</w:t>
    </w:r>
    <w:r w:rsidRPr="00607E7D">
      <w:rPr>
        <w:rFonts w:ascii="Arial" w:eastAsia="Arial" w:hAnsi="Arial" w:cs="Arial"/>
        <w:sz w:val="16"/>
        <w:szCs w:val="16"/>
        <w:lang w:val="en-US"/>
      </w:rPr>
      <w:t xml:space="preserve">, </w:t>
    </w:r>
    <w:r w:rsidR="00607E7D" w:rsidRPr="00607E7D">
      <w:rPr>
        <w:rFonts w:ascii="Arial" w:eastAsia="Arial" w:hAnsi="Arial" w:cs="Arial"/>
        <w:sz w:val="16"/>
        <w:szCs w:val="16"/>
        <w:lang w:val="en-US"/>
      </w:rPr>
      <w:t>García</w:t>
    </w:r>
    <w:r w:rsidRPr="00607E7D">
      <w:rPr>
        <w:rFonts w:ascii="Arial" w:eastAsia="Arial" w:hAnsi="Arial" w:cs="Arial"/>
        <w:sz w:val="16"/>
        <w:szCs w:val="16"/>
        <w:lang w:val="en-US"/>
      </w:rPr>
      <w:t xml:space="preserve"> </w:t>
    </w:r>
    <w:r w:rsidR="00607E7D" w:rsidRPr="00607E7D">
      <w:rPr>
        <w:rFonts w:ascii="Arial" w:eastAsia="Arial" w:hAnsi="Arial" w:cs="Arial"/>
        <w:sz w:val="16"/>
        <w:szCs w:val="16"/>
        <w:lang w:val="en-US"/>
      </w:rPr>
      <w:t>N</w:t>
    </w:r>
    <w:r w:rsidR="00F54161" w:rsidRPr="00607E7D">
      <w:rPr>
        <w:rFonts w:ascii="Arial" w:eastAsia="Arial" w:hAnsi="Arial" w:cs="Arial"/>
        <w:i/>
        <w:sz w:val="16"/>
        <w:szCs w:val="16"/>
        <w:lang w:val="en-US"/>
      </w:rPr>
      <w:t>.</w:t>
    </w:r>
    <w:r w:rsidR="006E46A5" w:rsidRPr="00607E7D">
      <w:rPr>
        <w:rFonts w:ascii="Arial" w:hAnsi="Arial" w:cs="Arial"/>
        <w:i/>
        <w:sz w:val="16"/>
        <w:szCs w:val="16"/>
        <w:lang w:val="en-US"/>
      </w:rPr>
      <w:t xml:space="preserve"> </w:t>
    </w:r>
    <w:r w:rsidR="006E46A5" w:rsidRPr="00D83004">
      <w:rPr>
        <w:rFonts w:ascii="Arial" w:hAnsi="Arial" w:cs="Arial"/>
        <w:i/>
        <w:sz w:val="16"/>
        <w:szCs w:val="16"/>
        <w:lang w:val="en-US"/>
      </w:rPr>
      <w:t>Achieving target blood pressure and LDL Cholesterol does not prevent the progression of atherosclerotic plaque burden in a high-risk population</w:t>
    </w:r>
  </w:p>
  <w:p w14:paraId="4AF37E31" w14:textId="77777777" w:rsidR="00CC54A9" w:rsidRPr="006E46A5" w:rsidRDefault="00CC54A9">
    <w:pPr>
      <w:pBdr>
        <w:top w:val="nil"/>
        <w:left w:val="nil"/>
        <w:bottom w:val="nil"/>
        <w:right w:val="nil"/>
        <w:between w:val="nil"/>
      </w:pBdr>
      <w:tabs>
        <w:tab w:val="center" w:pos="4419"/>
        <w:tab w:val="right" w:pos="8838"/>
      </w:tabs>
      <w:rPr>
        <w:rFonts w:ascii="Arial" w:eastAsia="Arial" w:hAnsi="Arial" w:cs="Arial"/>
        <w:sz w:val="16"/>
        <w:szCs w:val="16"/>
        <w:lang w:val="en-U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67CF" w14:textId="77777777" w:rsidR="00F3616E" w:rsidRDefault="00126475" w:rsidP="00126475">
    <w:pPr>
      <w:pBdr>
        <w:top w:val="nil"/>
        <w:left w:val="nil"/>
        <w:bottom w:val="nil"/>
        <w:right w:val="nil"/>
        <w:between w:val="nil"/>
      </w:pBdr>
      <w:tabs>
        <w:tab w:val="center" w:pos="4419"/>
        <w:tab w:val="right" w:pos="8838"/>
      </w:tabs>
      <w:jc w:val="left"/>
      <w:rPr>
        <w:color w:val="000000"/>
      </w:rPr>
    </w:pPr>
    <w:proofErr w:type="spellStart"/>
    <w:r w:rsidRPr="00126475">
      <w:rPr>
        <w:rFonts w:ascii="Arial" w:eastAsia="Arial" w:hAnsi="Arial" w:cs="Arial"/>
        <w:sz w:val="16"/>
        <w:szCs w:val="16"/>
      </w:rPr>
      <w:t>Giayetto</w:t>
    </w:r>
    <w:proofErr w:type="spellEnd"/>
    <w:r w:rsidRPr="00126475">
      <w:rPr>
        <w:rFonts w:ascii="Arial" w:eastAsia="Arial" w:hAnsi="Arial" w:cs="Arial"/>
        <w:sz w:val="16"/>
        <w:szCs w:val="16"/>
      </w:rPr>
      <w:t xml:space="preserve">, V.O., </w:t>
    </w:r>
    <w:proofErr w:type="spellStart"/>
    <w:r w:rsidRPr="00126475">
      <w:rPr>
        <w:rFonts w:ascii="Arial" w:eastAsia="Arial" w:hAnsi="Arial" w:cs="Arial"/>
        <w:sz w:val="16"/>
        <w:szCs w:val="16"/>
      </w:rPr>
      <w:t>Aimaretto</w:t>
    </w:r>
    <w:proofErr w:type="spellEnd"/>
    <w:r w:rsidRPr="00126475">
      <w:rPr>
        <w:rFonts w:ascii="Arial" w:eastAsia="Arial" w:hAnsi="Arial" w:cs="Arial"/>
        <w:sz w:val="16"/>
        <w:szCs w:val="16"/>
      </w:rPr>
      <w:t xml:space="preserve">, C.B.R., </w:t>
    </w:r>
    <w:proofErr w:type="spellStart"/>
    <w:r w:rsidRPr="00126475">
      <w:rPr>
        <w:rFonts w:ascii="Arial" w:eastAsia="Arial" w:hAnsi="Arial" w:cs="Arial"/>
        <w:sz w:val="16"/>
        <w:szCs w:val="16"/>
      </w:rPr>
      <w:t>Peirotti</w:t>
    </w:r>
    <w:proofErr w:type="spellEnd"/>
    <w:r w:rsidRPr="00126475">
      <w:rPr>
        <w:rFonts w:ascii="Arial" w:eastAsia="Arial" w:hAnsi="Arial" w:cs="Arial"/>
        <w:sz w:val="16"/>
        <w:szCs w:val="16"/>
      </w:rPr>
      <w:t>, M.G., Barnes, A., Raimondi, K., Vera, M.A. Estudios microbiológico y parasitológico de heces en una población infanto-juvenil con gastroenteritis aguda</w:t>
    </w:r>
  </w:p>
  <w:p w14:paraId="33DF3E0D" w14:textId="77777777" w:rsidR="00F3616E" w:rsidRDefault="00F3616E">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43A0"/>
    <w:multiLevelType w:val="hybridMultilevel"/>
    <w:tmpl w:val="3F02BE92"/>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4EB1F0A"/>
    <w:multiLevelType w:val="hybridMultilevel"/>
    <w:tmpl w:val="E1D2D61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A4743A0"/>
    <w:multiLevelType w:val="hybridMultilevel"/>
    <w:tmpl w:val="1D5010A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A6466D1"/>
    <w:multiLevelType w:val="hybridMultilevel"/>
    <w:tmpl w:val="6E86908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BA52609"/>
    <w:multiLevelType w:val="hybridMultilevel"/>
    <w:tmpl w:val="CDE68F4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14D0E84"/>
    <w:multiLevelType w:val="hybridMultilevel"/>
    <w:tmpl w:val="1D9AF1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55D4ECD"/>
    <w:multiLevelType w:val="hybridMultilevel"/>
    <w:tmpl w:val="A4944BB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EDE5CB3"/>
    <w:multiLevelType w:val="multilevel"/>
    <w:tmpl w:val="F4BA28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 w15:restartNumberingAfterBreak="0">
    <w:nsid w:val="5F712CFE"/>
    <w:multiLevelType w:val="hybridMultilevel"/>
    <w:tmpl w:val="491E9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C42CA1"/>
    <w:multiLevelType w:val="hybridMultilevel"/>
    <w:tmpl w:val="07AE10DC"/>
    <w:lvl w:ilvl="0" w:tplc="2C0A000F">
      <w:start w:val="1"/>
      <w:numFmt w:val="decimal"/>
      <w:lvlText w:val="%1."/>
      <w:lvlJc w:val="left"/>
      <w:pPr>
        <w:ind w:left="928" w:hanging="360"/>
      </w:pPr>
      <w:rPr>
        <w:rFonts w:hint="default"/>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10" w15:restartNumberingAfterBreak="0">
    <w:nsid w:val="7AD64503"/>
    <w:multiLevelType w:val="hybridMultilevel"/>
    <w:tmpl w:val="B27CC26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4"/>
  </w:num>
  <w:num w:numId="8">
    <w:abstractNumId w:val="2"/>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6E"/>
    <w:rsid w:val="00005DA0"/>
    <w:rsid w:val="00016934"/>
    <w:rsid w:val="00027D33"/>
    <w:rsid w:val="00032094"/>
    <w:rsid w:val="000460F6"/>
    <w:rsid w:val="00057FFB"/>
    <w:rsid w:val="00065125"/>
    <w:rsid w:val="000762E9"/>
    <w:rsid w:val="000772D0"/>
    <w:rsid w:val="00093BBF"/>
    <w:rsid w:val="0009634D"/>
    <w:rsid w:val="000B418D"/>
    <w:rsid w:val="000B44A5"/>
    <w:rsid w:val="000B4BEF"/>
    <w:rsid w:val="000C2DF1"/>
    <w:rsid w:val="000D3CFE"/>
    <w:rsid w:val="000D5029"/>
    <w:rsid w:val="000E593A"/>
    <w:rsid w:val="001073BF"/>
    <w:rsid w:val="001172E0"/>
    <w:rsid w:val="00117A19"/>
    <w:rsid w:val="00122EF6"/>
    <w:rsid w:val="00126475"/>
    <w:rsid w:val="00126838"/>
    <w:rsid w:val="0013007A"/>
    <w:rsid w:val="00130135"/>
    <w:rsid w:val="00154B42"/>
    <w:rsid w:val="00172EA0"/>
    <w:rsid w:val="0018325A"/>
    <w:rsid w:val="001972D9"/>
    <w:rsid w:val="001A0293"/>
    <w:rsid w:val="001B1582"/>
    <w:rsid w:val="001B2E08"/>
    <w:rsid w:val="001B5D0A"/>
    <w:rsid w:val="001E1CA7"/>
    <w:rsid w:val="002045F5"/>
    <w:rsid w:val="00206361"/>
    <w:rsid w:val="00214EB7"/>
    <w:rsid w:val="002350AF"/>
    <w:rsid w:val="00240604"/>
    <w:rsid w:val="00242013"/>
    <w:rsid w:val="00246052"/>
    <w:rsid w:val="002540D8"/>
    <w:rsid w:val="00264565"/>
    <w:rsid w:val="00280594"/>
    <w:rsid w:val="002A3723"/>
    <w:rsid w:val="002D2B8F"/>
    <w:rsid w:val="002D7742"/>
    <w:rsid w:val="00303ED1"/>
    <w:rsid w:val="00311584"/>
    <w:rsid w:val="00313B80"/>
    <w:rsid w:val="0032759D"/>
    <w:rsid w:val="00333C26"/>
    <w:rsid w:val="0038155A"/>
    <w:rsid w:val="003978DC"/>
    <w:rsid w:val="003B0566"/>
    <w:rsid w:val="003B0D3E"/>
    <w:rsid w:val="003B59C9"/>
    <w:rsid w:val="003D7B55"/>
    <w:rsid w:val="003E0CE1"/>
    <w:rsid w:val="003F3804"/>
    <w:rsid w:val="003F7F94"/>
    <w:rsid w:val="004016AE"/>
    <w:rsid w:val="00410542"/>
    <w:rsid w:val="00411DF4"/>
    <w:rsid w:val="00413142"/>
    <w:rsid w:val="004249AF"/>
    <w:rsid w:val="004349BA"/>
    <w:rsid w:val="004436AF"/>
    <w:rsid w:val="00456E9B"/>
    <w:rsid w:val="004623B9"/>
    <w:rsid w:val="00463A6B"/>
    <w:rsid w:val="00463AE1"/>
    <w:rsid w:val="00477C49"/>
    <w:rsid w:val="0048373F"/>
    <w:rsid w:val="004B3DC8"/>
    <w:rsid w:val="004D333E"/>
    <w:rsid w:val="00500B58"/>
    <w:rsid w:val="005212CD"/>
    <w:rsid w:val="00521B15"/>
    <w:rsid w:val="00523A10"/>
    <w:rsid w:val="00556D3D"/>
    <w:rsid w:val="0056590C"/>
    <w:rsid w:val="00565E88"/>
    <w:rsid w:val="005B552B"/>
    <w:rsid w:val="005D5977"/>
    <w:rsid w:val="005E7506"/>
    <w:rsid w:val="00604F29"/>
    <w:rsid w:val="00607E7D"/>
    <w:rsid w:val="00623F02"/>
    <w:rsid w:val="006254AB"/>
    <w:rsid w:val="0063293B"/>
    <w:rsid w:val="00635CC0"/>
    <w:rsid w:val="006412F7"/>
    <w:rsid w:val="00657B8E"/>
    <w:rsid w:val="00685F12"/>
    <w:rsid w:val="00693213"/>
    <w:rsid w:val="006B1D91"/>
    <w:rsid w:val="006B25C9"/>
    <w:rsid w:val="006B5371"/>
    <w:rsid w:val="006B71FC"/>
    <w:rsid w:val="006C37F9"/>
    <w:rsid w:val="006D4B67"/>
    <w:rsid w:val="006D7327"/>
    <w:rsid w:val="006E068D"/>
    <w:rsid w:val="006E2BE3"/>
    <w:rsid w:val="006E46A5"/>
    <w:rsid w:val="006F1B82"/>
    <w:rsid w:val="0070397D"/>
    <w:rsid w:val="00712196"/>
    <w:rsid w:val="0072768E"/>
    <w:rsid w:val="00731685"/>
    <w:rsid w:val="00742E14"/>
    <w:rsid w:val="007548AA"/>
    <w:rsid w:val="0076395A"/>
    <w:rsid w:val="00784F7B"/>
    <w:rsid w:val="007A3369"/>
    <w:rsid w:val="007D2A25"/>
    <w:rsid w:val="007F39C7"/>
    <w:rsid w:val="007F405C"/>
    <w:rsid w:val="0081152B"/>
    <w:rsid w:val="008129BA"/>
    <w:rsid w:val="00812DB3"/>
    <w:rsid w:val="008373DD"/>
    <w:rsid w:val="00841EAA"/>
    <w:rsid w:val="00852086"/>
    <w:rsid w:val="00853138"/>
    <w:rsid w:val="00860F42"/>
    <w:rsid w:val="00893B8B"/>
    <w:rsid w:val="008A28E4"/>
    <w:rsid w:val="008B0204"/>
    <w:rsid w:val="008C0C83"/>
    <w:rsid w:val="008C3A00"/>
    <w:rsid w:val="008E1007"/>
    <w:rsid w:val="008E6328"/>
    <w:rsid w:val="008F3C65"/>
    <w:rsid w:val="008F63DB"/>
    <w:rsid w:val="00900DEE"/>
    <w:rsid w:val="0090293E"/>
    <w:rsid w:val="00906156"/>
    <w:rsid w:val="00920650"/>
    <w:rsid w:val="00941F5F"/>
    <w:rsid w:val="00973668"/>
    <w:rsid w:val="00974418"/>
    <w:rsid w:val="00976398"/>
    <w:rsid w:val="009823CC"/>
    <w:rsid w:val="009B3C76"/>
    <w:rsid w:val="009B61F7"/>
    <w:rsid w:val="009C1ACB"/>
    <w:rsid w:val="009E66F6"/>
    <w:rsid w:val="00A07033"/>
    <w:rsid w:val="00A13118"/>
    <w:rsid w:val="00A13A9B"/>
    <w:rsid w:val="00A52436"/>
    <w:rsid w:val="00A63B73"/>
    <w:rsid w:val="00A64ED5"/>
    <w:rsid w:val="00A81A46"/>
    <w:rsid w:val="00A870F2"/>
    <w:rsid w:val="00AB11D2"/>
    <w:rsid w:val="00AC3E92"/>
    <w:rsid w:val="00AD7749"/>
    <w:rsid w:val="00AE2D7E"/>
    <w:rsid w:val="00AF1A4A"/>
    <w:rsid w:val="00AF7914"/>
    <w:rsid w:val="00B04FEC"/>
    <w:rsid w:val="00B11D3D"/>
    <w:rsid w:val="00B22A07"/>
    <w:rsid w:val="00B245E9"/>
    <w:rsid w:val="00B360AF"/>
    <w:rsid w:val="00B441F6"/>
    <w:rsid w:val="00B527F9"/>
    <w:rsid w:val="00B57ED5"/>
    <w:rsid w:val="00B65EA8"/>
    <w:rsid w:val="00B6601D"/>
    <w:rsid w:val="00B665D0"/>
    <w:rsid w:val="00B6674E"/>
    <w:rsid w:val="00B8435C"/>
    <w:rsid w:val="00BB765B"/>
    <w:rsid w:val="00BC4A0F"/>
    <w:rsid w:val="00BC7D2D"/>
    <w:rsid w:val="00BD230A"/>
    <w:rsid w:val="00BE0F04"/>
    <w:rsid w:val="00BE589E"/>
    <w:rsid w:val="00BE7133"/>
    <w:rsid w:val="00BF1F97"/>
    <w:rsid w:val="00C275F6"/>
    <w:rsid w:val="00C353C7"/>
    <w:rsid w:val="00C35823"/>
    <w:rsid w:val="00C4388D"/>
    <w:rsid w:val="00C43937"/>
    <w:rsid w:val="00C51F85"/>
    <w:rsid w:val="00C54FAB"/>
    <w:rsid w:val="00C558FA"/>
    <w:rsid w:val="00C66EAD"/>
    <w:rsid w:val="00C76CE4"/>
    <w:rsid w:val="00C76FBC"/>
    <w:rsid w:val="00C85F79"/>
    <w:rsid w:val="00C90A61"/>
    <w:rsid w:val="00CC1B0F"/>
    <w:rsid w:val="00CC54A9"/>
    <w:rsid w:val="00CD4381"/>
    <w:rsid w:val="00CE709E"/>
    <w:rsid w:val="00CF7E6A"/>
    <w:rsid w:val="00D21302"/>
    <w:rsid w:val="00D232AC"/>
    <w:rsid w:val="00D310E9"/>
    <w:rsid w:val="00D50E50"/>
    <w:rsid w:val="00D52D01"/>
    <w:rsid w:val="00D5315E"/>
    <w:rsid w:val="00D6319F"/>
    <w:rsid w:val="00D67FEF"/>
    <w:rsid w:val="00D70425"/>
    <w:rsid w:val="00D81DDE"/>
    <w:rsid w:val="00D83004"/>
    <w:rsid w:val="00D94C97"/>
    <w:rsid w:val="00D95955"/>
    <w:rsid w:val="00DA1A67"/>
    <w:rsid w:val="00DA62AE"/>
    <w:rsid w:val="00DB32EF"/>
    <w:rsid w:val="00DB3471"/>
    <w:rsid w:val="00DB5DB9"/>
    <w:rsid w:val="00DB67DA"/>
    <w:rsid w:val="00DC18CA"/>
    <w:rsid w:val="00DE5563"/>
    <w:rsid w:val="00E06380"/>
    <w:rsid w:val="00E15816"/>
    <w:rsid w:val="00E20B0A"/>
    <w:rsid w:val="00E312BC"/>
    <w:rsid w:val="00E31F69"/>
    <w:rsid w:val="00E33A69"/>
    <w:rsid w:val="00E34959"/>
    <w:rsid w:val="00E61BA2"/>
    <w:rsid w:val="00E63585"/>
    <w:rsid w:val="00E675D6"/>
    <w:rsid w:val="00E86CB0"/>
    <w:rsid w:val="00E91F86"/>
    <w:rsid w:val="00E93ED7"/>
    <w:rsid w:val="00E96975"/>
    <w:rsid w:val="00EC03B0"/>
    <w:rsid w:val="00EC2B63"/>
    <w:rsid w:val="00ED1B31"/>
    <w:rsid w:val="00ED3756"/>
    <w:rsid w:val="00EE02DD"/>
    <w:rsid w:val="00EE3FF7"/>
    <w:rsid w:val="00F04C59"/>
    <w:rsid w:val="00F251F9"/>
    <w:rsid w:val="00F360B4"/>
    <w:rsid w:val="00F3616E"/>
    <w:rsid w:val="00F36419"/>
    <w:rsid w:val="00F42132"/>
    <w:rsid w:val="00F54161"/>
    <w:rsid w:val="00F5594B"/>
    <w:rsid w:val="00F80346"/>
    <w:rsid w:val="00FA6F5C"/>
    <w:rsid w:val="00FA7F84"/>
    <w:rsid w:val="00FB03E2"/>
    <w:rsid w:val="00FB1EDA"/>
    <w:rsid w:val="00FC40D3"/>
    <w:rsid w:val="00FD45F0"/>
    <w:rsid w:val="00FE7744"/>
    <w:rsid w:val="00FF2880"/>
    <w:rsid w:val="00FF68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6B233"/>
  <w15:docId w15:val="{F20CA905-79C7-47B6-94DC-0A468E2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1172E0"/>
    <w:rPr>
      <w:color w:val="605E5C"/>
      <w:shd w:val="clear" w:color="auto" w:fill="E1DFDD"/>
    </w:rPr>
  </w:style>
  <w:style w:type="paragraph" w:customStyle="1" w:styleId="Default">
    <w:name w:val="Default"/>
    <w:rsid w:val="00E33A69"/>
    <w:pPr>
      <w:autoSpaceDE w:val="0"/>
      <w:autoSpaceDN w:val="0"/>
      <w:adjustRightInd w:val="0"/>
      <w:jc w:val="left"/>
    </w:pPr>
    <w:rPr>
      <w:rFonts w:ascii="Calibri" w:eastAsiaTheme="minorHAnsi" w:hAnsi="Calibri" w:cs="Calibri"/>
      <w:color w:val="000000"/>
      <w:sz w:val="24"/>
      <w:szCs w:val="24"/>
      <w:lang w:val="en-US" w:eastAsia="en-US"/>
    </w:rPr>
  </w:style>
  <w:style w:type="character" w:customStyle="1" w:styleId="UnresolvedMention">
    <w:name w:val="Unresolved Mention"/>
    <w:basedOn w:val="Fuentedeprrafopredeter"/>
    <w:uiPriority w:val="99"/>
    <w:semiHidden/>
    <w:unhideWhenUsed/>
    <w:rsid w:val="00A52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4594">
      <w:bodyDiv w:val="1"/>
      <w:marLeft w:val="0"/>
      <w:marRight w:val="0"/>
      <w:marTop w:val="0"/>
      <w:marBottom w:val="0"/>
      <w:divBdr>
        <w:top w:val="none" w:sz="0" w:space="0" w:color="auto"/>
        <w:left w:val="none" w:sz="0" w:space="0" w:color="auto"/>
        <w:bottom w:val="none" w:sz="0" w:space="0" w:color="auto"/>
        <w:right w:val="none" w:sz="0" w:space="0" w:color="auto"/>
      </w:divBdr>
    </w:div>
    <w:div w:id="223683039">
      <w:bodyDiv w:val="1"/>
      <w:marLeft w:val="0"/>
      <w:marRight w:val="0"/>
      <w:marTop w:val="0"/>
      <w:marBottom w:val="0"/>
      <w:divBdr>
        <w:top w:val="none" w:sz="0" w:space="0" w:color="auto"/>
        <w:left w:val="none" w:sz="0" w:space="0" w:color="auto"/>
        <w:bottom w:val="none" w:sz="0" w:space="0" w:color="auto"/>
        <w:right w:val="none" w:sz="0" w:space="0" w:color="auto"/>
      </w:divBdr>
    </w:div>
    <w:div w:id="284429977">
      <w:bodyDiv w:val="1"/>
      <w:marLeft w:val="0"/>
      <w:marRight w:val="0"/>
      <w:marTop w:val="0"/>
      <w:marBottom w:val="0"/>
      <w:divBdr>
        <w:top w:val="none" w:sz="0" w:space="0" w:color="auto"/>
        <w:left w:val="none" w:sz="0" w:space="0" w:color="auto"/>
        <w:bottom w:val="none" w:sz="0" w:space="0" w:color="auto"/>
        <w:right w:val="none" w:sz="0" w:space="0" w:color="auto"/>
      </w:divBdr>
    </w:div>
    <w:div w:id="407003339">
      <w:bodyDiv w:val="1"/>
      <w:marLeft w:val="0"/>
      <w:marRight w:val="0"/>
      <w:marTop w:val="0"/>
      <w:marBottom w:val="0"/>
      <w:divBdr>
        <w:top w:val="none" w:sz="0" w:space="0" w:color="auto"/>
        <w:left w:val="none" w:sz="0" w:space="0" w:color="auto"/>
        <w:bottom w:val="none" w:sz="0" w:space="0" w:color="auto"/>
        <w:right w:val="none" w:sz="0" w:space="0" w:color="auto"/>
      </w:divBdr>
    </w:div>
    <w:div w:id="443883683">
      <w:bodyDiv w:val="1"/>
      <w:marLeft w:val="0"/>
      <w:marRight w:val="0"/>
      <w:marTop w:val="0"/>
      <w:marBottom w:val="0"/>
      <w:divBdr>
        <w:top w:val="none" w:sz="0" w:space="0" w:color="auto"/>
        <w:left w:val="none" w:sz="0" w:space="0" w:color="auto"/>
        <w:bottom w:val="none" w:sz="0" w:space="0" w:color="auto"/>
        <w:right w:val="none" w:sz="0" w:space="0" w:color="auto"/>
      </w:divBdr>
    </w:div>
    <w:div w:id="728071672">
      <w:bodyDiv w:val="1"/>
      <w:marLeft w:val="0"/>
      <w:marRight w:val="0"/>
      <w:marTop w:val="0"/>
      <w:marBottom w:val="0"/>
      <w:divBdr>
        <w:top w:val="none" w:sz="0" w:space="0" w:color="auto"/>
        <w:left w:val="none" w:sz="0" w:space="0" w:color="auto"/>
        <w:bottom w:val="none" w:sz="0" w:space="0" w:color="auto"/>
        <w:right w:val="none" w:sz="0" w:space="0" w:color="auto"/>
      </w:divBdr>
    </w:div>
    <w:div w:id="787506030">
      <w:bodyDiv w:val="1"/>
      <w:marLeft w:val="0"/>
      <w:marRight w:val="0"/>
      <w:marTop w:val="0"/>
      <w:marBottom w:val="0"/>
      <w:divBdr>
        <w:top w:val="none" w:sz="0" w:space="0" w:color="auto"/>
        <w:left w:val="none" w:sz="0" w:space="0" w:color="auto"/>
        <w:bottom w:val="none" w:sz="0" w:space="0" w:color="auto"/>
        <w:right w:val="none" w:sz="0" w:space="0" w:color="auto"/>
      </w:divBdr>
    </w:div>
    <w:div w:id="841697779">
      <w:bodyDiv w:val="1"/>
      <w:marLeft w:val="0"/>
      <w:marRight w:val="0"/>
      <w:marTop w:val="0"/>
      <w:marBottom w:val="0"/>
      <w:divBdr>
        <w:top w:val="none" w:sz="0" w:space="0" w:color="auto"/>
        <w:left w:val="none" w:sz="0" w:space="0" w:color="auto"/>
        <w:bottom w:val="none" w:sz="0" w:space="0" w:color="auto"/>
        <w:right w:val="none" w:sz="0" w:space="0" w:color="auto"/>
      </w:divBdr>
    </w:div>
    <w:div w:id="898129788">
      <w:bodyDiv w:val="1"/>
      <w:marLeft w:val="0"/>
      <w:marRight w:val="0"/>
      <w:marTop w:val="0"/>
      <w:marBottom w:val="0"/>
      <w:divBdr>
        <w:top w:val="none" w:sz="0" w:space="0" w:color="auto"/>
        <w:left w:val="none" w:sz="0" w:space="0" w:color="auto"/>
        <w:bottom w:val="none" w:sz="0" w:space="0" w:color="auto"/>
        <w:right w:val="none" w:sz="0" w:space="0" w:color="auto"/>
      </w:divBdr>
    </w:div>
    <w:div w:id="1172909163">
      <w:bodyDiv w:val="1"/>
      <w:marLeft w:val="0"/>
      <w:marRight w:val="0"/>
      <w:marTop w:val="0"/>
      <w:marBottom w:val="0"/>
      <w:divBdr>
        <w:top w:val="none" w:sz="0" w:space="0" w:color="auto"/>
        <w:left w:val="none" w:sz="0" w:space="0" w:color="auto"/>
        <w:bottom w:val="none" w:sz="0" w:space="0" w:color="auto"/>
        <w:right w:val="none" w:sz="0" w:space="0" w:color="auto"/>
      </w:divBdr>
    </w:div>
    <w:div w:id="1191452585">
      <w:bodyDiv w:val="1"/>
      <w:marLeft w:val="0"/>
      <w:marRight w:val="0"/>
      <w:marTop w:val="0"/>
      <w:marBottom w:val="0"/>
      <w:divBdr>
        <w:top w:val="none" w:sz="0" w:space="0" w:color="auto"/>
        <w:left w:val="none" w:sz="0" w:space="0" w:color="auto"/>
        <w:bottom w:val="none" w:sz="0" w:space="0" w:color="auto"/>
        <w:right w:val="none" w:sz="0" w:space="0" w:color="auto"/>
      </w:divBdr>
    </w:div>
    <w:div w:id="1423602204">
      <w:bodyDiv w:val="1"/>
      <w:marLeft w:val="0"/>
      <w:marRight w:val="0"/>
      <w:marTop w:val="0"/>
      <w:marBottom w:val="0"/>
      <w:divBdr>
        <w:top w:val="none" w:sz="0" w:space="0" w:color="auto"/>
        <w:left w:val="none" w:sz="0" w:space="0" w:color="auto"/>
        <w:bottom w:val="none" w:sz="0" w:space="0" w:color="auto"/>
        <w:right w:val="none" w:sz="0" w:space="0" w:color="auto"/>
      </w:divBdr>
    </w:div>
    <w:div w:id="1490511951">
      <w:bodyDiv w:val="1"/>
      <w:marLeft w:val="0"/>
      <w:marRight w:val="0"/>
      <w:marTop w:val="0"/>
      <w:marBottom w:val="0"/>
      <w:divBdr>
        <w:top w:val="none" w:sz="0" w:space="0" w:color="auto"/>
        <w:left w:val="none" w:sz="0" w:space="0" w:color="auto"/>
        <w:bottom w:val="none" w:sz="0" w:space="0" w:color="auto"/>
        <w:right w:val="none" w:sz="0" w:space="0" w:color="auto"/>
      </w:divBdr>
    </w:div>
    <w:div w:id="1607537353">
      <w:bodyDiv w:val="1"/>
      <w:marLeft w:val="0"/>
      <w:marRight w:val="0"/>
      <w:marTop w:val="0"/>
      <w:marBottom w:val="0"/>
      <w:divBdr>
        <w:top w:val="none" w:sz="0" w:space="0" w:color="auto"/>
        <w:left w:val="none" w:sz="0" w:space="0" w:color="auto"/>
        <w:bottom w:val="none" w:sz="0" w:space="0" w:color="auto"/>
        <w:right w:val="none" w:sz="0" w:space="0" w:color="auto"/>
      </w:divBdr>
    </w:div>
    <w:div w:id="1716663909">
      <w:bodyDiv w:val="1"/>
      <w:marLeft w:val="0"/>
      <w:marRight w:val="0"/>
      <w:marTop w:val="0"/>
      <w:marBottom w:val="0"/>
      <w:divBdr>
        <w:top w:val="none" w:sz="0" w:space="0" w:color="auto"/>
        <w:left w:val="none" w:sz="0" w:space="0" w:color="auto"/>
        <w:bottom w:val="none" w:sz="0" w:space="0" w:color="auto"/>
        <w:right w:val="none" w:sz="0" w:space="0" w:color="auto"/>
      </w:divBdr>
    </w:div>
    <w:div w:id="1763792843">
      <w:bodyDiv w:val="1"/>
      <w:marLeft w:val="0"/>
      <w:marRight w:val="0"/>
      <w:marTop w:val="0"/>
      <w:marBottom w:val="0"/>
      <w:divBdr>
        <w:top w:val="none" w:sz="0" w:space="0" w:color="auto"/>
        <w:left w:val="none" w:sz="0" w:space="0" w:color="auto"/>
        <w:bottom w:val="none" w:sz="0" w:space="0" w:color="auto"/>
        <w:right w:val="none" w:sz="0" w:space="0" w:color="auto"/>
      </w:divBdr>
    </w:div>
    <w:div w:id="1961759990">
      <w:bodyDiv w:val="1"/>
      <w:marLeft w:val="0"/>
      <w:marRight w:val="0"/>
      <w:marTop w:val="0"/>
      <w:marBottom w:val="0"/>
      <w:divBdr>
        <w:top w:val="none" w:sz="0" w:space="0" w:color="auto"/>
        <w:left w:val="none" w:sz="0" w:space="0" w:color="auto"/>
        <w:bottom w:val="none" w:sz="0" w:space="0" w:color="auto"/>
        <w:right w:val="none" w:sz="0" w:space="0" w:color="auto"/>
      </w:divBdr>
    </w:div>
    <w:div w:id="2063090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jp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doi.org/10.22529/me.2024.9(2)03" TargetMode="External"/><Relationship Id="rId14" Type="http://schemas.openxmlformats.org/officeDocument/2006/relationships/hyperlink" Target="https://orcid.org/0000-0002-6358-7940" TargetMode="External"/><Relationship Id="rId22" Type="http://schemas.openxmlformats.org/officeDocument/2006/relationships/image" Target="media/image6.png"/><Relationship Id="rId27"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H18BqB9CHhsucfjjDju6xKooHw==">AMUW2mXIFclXrewjt1huYxhP5t2MDNB4jq17rasjnH7mhqKfspJnX8mXnbESBh3Nl5hw2xQE5z88naH64Q3TVI4FFVjHPEoPvJCLGEPO+ErihcEDBadyPeUui3gxpRkNt160Mn2sbWQtzVOiNxw9LWInt5Dq8Rfdmk2Nag13cci0kq+gW+X1v09DdT7GhNa7/G4as39opPK0eF3zP8nwODVlvrdl7sX4gcyd9xCtQVmFO23p76PE8EMf4wO9LtexhXkqMWAtjQtQIYM/cePh8/Sz4YVnmHQT/5BPAsHaaAXmGGN7R4leYydDS78f5KQJexzRKsX3R03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8D69D1-6BD2-4B46-8510-0BFB44ED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3867</Words>
  <Characters>22045</Characters>
  <Application>Microsoft Office Word</Application>
  <DocSecurity>0</DocSecurity>
  <Lines>183</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Pedro Bruzzesi</cp:lastModifiedBy>
  <cp:revision>2</cp:revision>
  <cp:lastPrinted>2024-03-21T20:46:00Z</cp:lastPrinted>
  <dcterms:created xsi:type="dcterms:W3CDTF">2024-03-21T20:47:00Z</dcterms:created>
  <dcterms:modified xsi:type="dcterms:W3CDTF">2024-03-21T20:47:00Z</dcterms:modified>
</cp:coreProperties>
</file>