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F3F" w:rsidRDefault="00823813">
      <w:pPr>
        <w:pStyle w:val="Ttulo1"/>
        <w:spacing w:before="0" w:after="0"/>
        <w:ind w:hanging="142"/>
        <w:jc w:val="center"/>
        <w:rPr>
          <w:rFonts w:ascii="Arial" w:eastAsia="Arial" w:hAnsi="Arial" w:cs="Arial"/>
          <w:b w:val="0"/>
          <w:sz w:val="18"/>
          <w:szCs w:val="18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 w:val="0"/>
          <w:sz w:val="20"/>
          <w:szCs w:val="20"/>
        </w:rPr>
        <w:t xml:space="preserve">                                                                                             NARRATIVA Rev. </w:t>
      </w:r>
      <w:proofErr w:type="spellStart"/>
      <w:r>
        <w:rPr>
          <w:rFonts w:ascii="Arial" w:eastAsia="Arial" w:hAnsi="Arial" w:cs="Arial"/>
          <w:b w:val="0"/>
          <w:sz w:val="18"/>
          <w:szCs w:val="18"/>
        </w:rPr>
        <w:t>Methodo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2024;9(1):69</w:t>
      </w:r>
    </w:p>
    <w:p w:rsidR="00093F3F" w:rsidRDefault="00823813">
      <w:pPr>
        <w:pStyle w:val="Ttulo1"/>
        <w:spacing w:before="0" w:after="0"/>
        <w:ind w:hanging="142"/>
        <w:jc w:val="right"/>
        <w:rPr>
          <w:rFonts w:ascii="Arial" w:eastAsia="Arial" w:hAnsi="Arial" w:cs="Arial"/>
          <w:b w:val="0"/>
          <w:sz w:val="16"/>
          <w:szCs w:val="16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b w:val="0"/>
          <w:sz w:val="17"/>
          <w:szCs w:val="17"/>
        </w:rPr>
        <w:t>https://doi.org/10.22529/me.2024.9</w:t>
      </w:r>
      <w:r>
        <w:rPr>
          <w:rFonts w:ascii="Verdana" w:eastAsia="Verdana" w:hAnsi="Verdana" w:cs="Verdana"/>
          <w:b w:val="0"/>
          <w:sz w:val="16"/>
          <w:szCs w:val="16"/>
          <w:highlight w:val="white"/>
        </w:rPr>
        <w:t>(1)</w:t>
      </w:r>
      <w:r>
        <w:rPr>
          <w:rFonts w:ascii="Verdana" w:eastAsia="Verdana" w:hAnsi="Verdana" w:cs="Verdana"/>
          <w:b w:val="0"/>
          <w:sz w:val="16"/>
          <w:szCs w:val="16"/>
        </w:rPr>
        <w:t>09</w:t>
      </w:r>
    </w:p>
    <w:tbl>
      <w:tblPr>
        <w:tblStyle w:val="a"/>
        <w:tblW w:w="8593" w:type="dxa"/>
        <w:tblInd w:w="-34" w:type="dxa"/>
        <w:tblBorders>
          <w:top w:val="single" w:sz="4" w:space="0" w:color="005000"/>
          <w:left w:val="nil"/>
          <w:bottom w:val="single" w:sz="4" w:space="0" w:color="005000"/>
          <w:right w:val="nil"/>
          <w:insideH w:val="single" w:sz="4" w:space="0" w:color="005000"/>
          <w:insideV w:val="single" w:sz="4" w:space="0" w:color="005000"/>
        </w:tblBorders>
        <w:tblLayout w:type="fixed"/>
        <w:tblLook w:val="0400" w:firstRow="0" w:lastRow="0" w:firstColumn="0" w:lastColumn="0" w:noHBand="0" w:noVBand="1"/>
      </w:tblPr>
      <w:tblGrid>
        <w:gridCol w:w="5564"/>
        <w:gridCol w:w="3029"/>
      </w:tblGrid>
      <w:tr w:rsidR="00093F3F">
        <w:trPr>
          <w:trHeight w:val="169"/>
        </w:trPr>
        <w:tc>
          <w:tcPr>
            <w:tcW w:w="5564" w:type="dxa"/>
            <w:vAlign w:val="center"/>
          </w:tcPr>
          <w:p w:rsidR="00093F3F" w:rsidRDefault="00823813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Recibido 29 Jun. 2023 | Publicado 05 Ene. 2024</w:t>
            </w:r>
          </w:p>
        </w:tc>
        <w:tc>
          <w:tcPr>
            <w:tcW w:w="3029" w:type="dxa"/>
            <w:shd w:val="clear" w:color="auto" w:fill="509E2F"/>
            <w:vAlign w:val="center"/>
          </w:tcPr>
          <w:p w:rsidR="00093F3F" w:rsidRDefault="00093F3F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093F3F" w:rsidRDefault="00093F3F">
      <w:pPr>
        <w:spacing w:line="360" w:lineRule="auto"/>
        <w:jc w:val="both"/>
        <w:rPr>
          <w:sz w:val="20"/>
          <w:szCs w:val="20"/>
        </w:rPr>
      </w:pPr>
    </w:p>
    <w:tbl>
      <w:tblPr>
        <w:tblStyle w:val="a0"/>
        <w:tblW w:w="86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093F3F" w:rsidRPr="00056477">
        <w:trPr>
          <w:trHeight w:val="941"/>
        </w:trPr>
        <w:tc>
          <w:tcPr>
            <w:tcW w:w="8647" w:type="dxa"/>
          </w:tcPr>
          <w:p w:rsidR="00093F3F" w:rsidRDefault="00823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Del treinta y tres en medicina</w:t>
            </w:r>
          </w:p>
          <w:p w:rsidR="00093F3F" w:rsidRPr="00056477" w:rsidRDefault="00823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</w:pPr>
            <w:r w:rsidRPr="00056477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/>
              </w:rPr>
              <w:t>Of the thirty-three in medicine</w:t>
            </w:r>
          </w:p>
        </w:tc>
        <w:bookmarkStart w:id="2" w:name="_GoBack"/>
        <w:bookmarkEnd w:id="2"/>
      </w:tr>
      <w:tr w:rsidR="00093F3F">
        <w:trPr>
          <w:trHeight w:val="566"/>
        </w:trPr>
        <w:tc>
          <w:tcPr>
            <w:tcW w:w="8647" w:type="dxa"/>
          </w:tcPr>
          <w:p w:rsidR="00093F3F" w:rsidRDefault="00823813">
            <w:pPr>
              <w:rPr>
                <w:color w:val="005000"/>
                <w:sz w:val="20"/>
                <w:szCs w:val="20"/>
              </w:rPr>
            </w:pPr>
            <w:r>
              <w:rPr>
                <w:sz w:val="20"/>
                <w:szCs w:val="20"/>
              </w:rPr>
              <w:t>Cipriano Eduardo Rou</w:t>
            </w:r>
            <w:r>
              <w:rPr>
                <w:sz w:val="20"/>
                <w:szCs w:val="20"/>
              </w:rPr>
              <w:t>gier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noProof/>
              </w:rPr>
              <w:drawing>
                <wp:inline distT="0" distB="0" distL="0" distR="0">
                  <wp:extent cx="223785" cy="180271"/>
                  <wp:effectExtent l="0" t="0" r="5080" b="0"/>
                  <wp:docPr id="2" name="image1.pn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>
                            <a:hlinkClick r:id="rId7"/>
                          </pic:cNvPr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85" cy="1802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F3F">
        <w:trPr>
          <w:trHeight w:val="278"/>
        </w:trPr>
        <w:tc>
          <w:tcPr>
            <w:tcW w:w="8647" w:type="dxa"/>
          </w:tcPr>
          <w:p w:rsidR="00093F3F" w:rsidRDefault="00093F3F">
            <w:pPr>
              <w:ind w:left="851" w:right="851"/>
              <w:jc w:val="both"/>
              <w:rPr>
                <w:rFonts w:ascii="Arial" w:eastAsia="Arial" w:hAnsi="Arial" w:cs="Arial"/>
                <w:color w:val="005000"/>
                <w:sz w:val="20"/>
                <w:szCs w:val="20"/>
                <w:highlight w:val="yellow"/>
              </w:rPr>
            </w:pPr>
          </w:p>
        </w:tc>
      </w:tr>
      <w:tr w:rsidR="00093F3F">
        <w:trPr>
          <w:trHeight w:val="23"/>
        </w:trPr>
        <w:tc>
          <w:tcPr>
            <w:tcW w:w="8647" w:type="dxa"/>
          </w:tcPr>
          <w:p w:rsidR="00093F3F" w:rsidRDefault="00093F3F">
            <w:pPr>
              <w:ind w:left="851" w:right="851"/>
              <w:jc w:val="both"/>
              <w:rPr>
                <w:rFonts w:ascii="Arial" w:eastAsia="Arial" w:hAnsi="Arial" w:cs="Arial"/>
                <w:color w:val="005000"/>
                <w:sz w:val="16"/>
                <w:szCs w:val="16"/>
              </w:rPr>
            </w:pPr>
          </w:p>
        </w:tc>
      </w:tr>
      <w:tr w:rsidR="00093F3F">
        <w:trPr>
          <w:trHeight w:val="621"/>
        </w:trPr>
        <w:tc>
          <w:tcPr>
            <w:tcW w:w="8647" w:type="dxa"/>
          </w:tcPr>
          <w:p w:rsidR="00093F3F" w:rsidRDefault="00823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 xml:space="preserve">1. Clínica Universitaria Reina Fabiola. Servicio de Pediatría. </w:t>
            </w:r>
          </w:p>
          <w:p w:rsidR="00093F3F" w:rsidRDefault="00823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Correspondencia: Cipriano E. Rou</w:t>
            </w:r>
            <w:r>
              <w:rPr>
                <w:color w:val="000000"/>
                <w:sz w:val="18"/>
                <w:szCs w:val="18"/>
              </w:rPr>
              <w:t>gier Email: cerougier@hotmail.com</w:t>
            </w:r>
          </w:p>
          <w:p w:rsidR="00093F3F" w:rsidRDefault="0009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3F3F" w:rsidRDefault="00093F3F">
      <w:pPr>
        <w:jc w:val="both"/>
        <w:rPr>
          <w:sz w:val="20"/>
          <w:szCs w:val="20"/>
        </w:rPr>
      </w:pPr>
    </w:p>
    <w:p w:rsidR="00093F3F" w:rsidRDefault="00823813">
      <w:pPr>
        <w:jc w:val="both"/>
        <w:rPr>
          <w:sz w:val="20"/>
          <w:szCs w:val="20"/>
        </w:rPr>
      </w:pPr>
      <w:r>
        <w:rPr>
          <w:sz w:val="20"/>
          <w:szCs w:val="20"/>
        </w:rPr>
        <w:t>Si una patología asienta en la intimidad del pulmón los médicos, para localizar y descifrar el problema, nos valemos de varios recursos que pertenecen a la semiología clínica habitual. Entre ellos quizás el más valioso de todos, la auscultación, se vio muy</w:t>
      </w:r>
      <w:r>
        <w:rPr>
          <w:sz w:val="20"/>
          <w:szCs w:val="20"/>
        </w:rPr>
        <w:t xml:space="preserve"> beneficiada cuando en el año mil ochocientos dieciséis, René </w:t>
      </w:r>
      <w:proofErr w:type="spellStart"/>
      <w:r>
        <w:rPr>
          <w:sz w:val="20"/>
          <w:szCs w:val="20"/>
        </w:rPr>
        <w:t>Laënnec</w:t>
      </w:r>
      <w:proofErr w:type="spellEnd"/>
      <w:r>
        <w:rPr>
          <w:sz w:val="20"/>
          <w:szCs w:val="20"/>
        </w:rPr>
        <w:t>, inventó el estetoscopio. Tal dispositivo permitió analizar con mayor fluidez y sin pudor toda la superficie del tórax del enfermo e hizo posible detectar aún en zonas difíciles de explo</w:t>
      </w:r>
      <w:r>
        <w:rPr>
          <w:sz w:val="20"/>
          <w:szCs w:val="20"/>
        </w:rPr>
        <w:t xml:space="preserve">rar, como lo es la axila, la presencia de ruidos adventicios proveniente de la noxa subyacente. </w:t>
      </w:r>
    </w:p>
    <w:p w:rsidR="00093F3F" w:rsidRDefault="00093F3F">
      <w:pPr>
        <w:jc w:val="both"/>
        <w:rPr>
          <w:sz w:val="20"/>
          <w:szCs w:val="20"/>
        </w:rPr>
      </w:pPr>
    </w:p>
    <w:p w:rsidR="00093F3F" w:rsidRDefault="00823813">
      <w:pPr>
        <w:jc w:val="both"/>
        <w:rPr>
          <w:sz w:val="20"/>
          <w:szCs w:val="20"/>
        </w:rPr>
      </w:pPr>
      <w:r>
        <w:rPr>
          <w:sz w:val="20"/>
          <w:szCs w:val="20"/>
        </w:rPr>
        <w:t>Apuntalando al estetoscopio, para lograr mayor definición del problema, apelamos a vocablos que el paciente expresa tanto en voz alta como también cuchicheada</w:t>
      </w:r>
      <w:r>
        <w:rPr>
          <w:sz w:val="20"/>
          <w:szCs w:val="20"/>
        </w:rPr>
        <w:t>. De lo usados, el que más me impacta y seduce es la expresión treinta y tres. Escuchar este sonido a largo del laberinto broncopulmonar posee una determinada cualidad auditiva que, cuando atraviesa el foco donde reside el problema se modifica y a veces de</w:t>
      </w:r>
      <w:r>
        <w:rPr>
          <w:sz w:val="20"/>
          <w:szCs w:val="20"/>
        </w:rPr>
        <w:t xml:space="preserve"> tal manera que permite discernir, con ribetes de arte y ciencia, el diagnóstico en cuestión. Todo este discurrir sonoro siempre me ha generado una emoción de inigualable densidad. </w:t>
      </w:r>
    </w:p>
    <w:p w:rsidR="00093F3F" w:rsidRDefault="00093F3F">
      <w:pPr>
        <w:jc w:val="both"/>
        <w:rPr>
          <w:sz w:val="20"/>
          <w:szCs w:val="20"/>
        </w:rPr>
      </w:pPr>
    </w:p>
    <w:p w:rsidR="00093F3F" w:rsidRDefault="00823813">
      <w:pPr>
        <w:jc w:val="both"/>
        <w:rPr>
          <w:sz w:val="20"/>
          <w:szCs w:val="20"/>
        </w:rPr>
      </w:pPr>
      <w:r>
        <w:rPr>
          <w:sz w:val="20"/>
          <w:szCs w:val="20"/>
        </w:rPr>
        <w:t>Actualmente la tecnología ha desarrollado medios auxiliares (ECO, TAC e IRM) excelentes los que aportan mejor y mayor información para definir, casi con precisión, la patología pulmonar que aqueja al paciente en estudio. Tal situación, ha acallado y de man</w:t>
      </w:r>
      <w:r>
        <w:rPr>
          <w:sz w:val="20"/>
          <w:szCs w:val="20"/>
        </w:rPr>
        <w:t>era significativa, al treinta y tres. Ya casi no escucho a médicos decir a sus pacientes “repita, en voz alta, treinta y tres”. Este silencioso acontecer, de la expresión comentada, es una pérdida que, si bien no es trágica, para quien aún la valora como u</w:t>
      </w:r>
      <w:r>
        <w:rPr>
          <w:sz w:val="20"/>
          <w:szCs w:val="20"/>
        </w:rPr>
        <w:t xml:space="preserve">n recurso útil, le genera ciertas nostalgias pues, se tiene la impresión que vamos asistiendo, obviamente en la medicina y me tildarán de exagerado, al requien de la frase Treinta y tres”                                                                </w:t>
      </w:r>
    </w:p>
    <w:p w:rsidR="00093F3F" w:rsidRDefault="00093F3F">
      <w:pPr>
        <w:jc w:val="both"/>
        <w:rPr>
          <w:b/>
        </w:rPr>
      </w:pPr>
    </w:p>
    <w:p w:rsidR="00093F3F" w:rsidRDefault="00056477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1602105</wp:posOffset>
                </wp:positionV>
                <wp:extent cx="436245" cy="390525"/>
                <wp:effectExtent l="0" t="0" r="2095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390525"/>
                        </a:xfrm>
                        <a:prstGeom prst="rect">
                          <a:avLst/>
                        </a:prstGeom>
                        <a:solidFill>
                          <a:srgbClr val="509E2F"/>
                        </a:solidFill>
                        <a:ln w="9525" cap="flat" cmpd="sng">
                          <a:solidFill>
                            <a:srgbClr val="36609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3F3F" w:rsidRDefault="0082381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69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439.2pt;margin-top:126.15pt;width:34.35pt;height:30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" fillcolor="#509e2f" strokecolor="#366092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93F3F" w:rsidRDefault="00823813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69</w:t>
                      </w:r>
                    </w:p>
                  </w:txbxContent>
                </v:textbox>
              </v:rect>
            </w:pict>
          </mc:Fallback>
        </mc:AlternateContent>
      </w:r>
      <w:r w:rsidR="00823813">
        <w:rPr>
          <w:rFonts w:ascii="Arial" w:eastAsia="Arial" w:hAnsi="Arial" w:cs="Arial"/>
          <w:noProof/>
          <w:color w:val="000000"/>
          <w:sz w:val="22"/>
          <w:szCs w:val="22"/>
          <w:u w:val="single"/>
        </w:rPr>
        <w:drawing>
          <wp:inline distT="0" distB="0" distL="0" distR="0">
            <wp:extent cx="1053635" cy="493009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635" cy="493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93F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813" w:rsidRDefault="00823813">
      <w:r>
        <w:separator/>
      </w:r>
    </w:p>
  </w:endnote>
  <w:endnote w:type="continuationSeparator" w:id="0">
    <w:p w:rsidR="00823813" w:rsidRDefault="0082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3F" w:rsidRDefault="00093F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3F" w:rsidRDefault="00093F3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7654" w:type="dxa"/>
      <w:tblInd w:w="0" w:type="dxa"/>
      <w:tblLayout w:type="fixed"/>
      <w:tblLook w:val="0400" w:firstRow="0" w:lastRow="0" w:firstColumn="0" w:lastColumn="0" w:noHBand="0" w:noVBand="1"/>
    </w:tblPr>
    <w:tblGrid>
      <w:gridCol w:w="7654"/>
    </w:tblGrid>
    <w:tr w:rsidR="00093F3F">
      <w:tc>
        <w:tcPr>
          <w:tcW w:w="0" w:type="auto"/>
          <w:tcBorders>
            <w:top w:val="single" w:sz="4" w:space="0" w:color="000000"/>
          </w:tcBorders>
        </w:tcPr>
        <w:p w:rsidR="00093F3F" w:rsidRDefault="008238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: Investigación Aplicada a las Ciencias Biológicas. Universidad Católica de Córdoba. Jacinto Ríos 571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Bº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Gral. Paz. X5004FXS. Córdoba. Argentina. Tel.: (54) 351 4517299 / Correo: methodo@ucc.edu.ar / |</w:t>
          </w:r>
          <w:r>
            <w:rPr>
              <w:color w:val="000000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NARRATIVA Rev.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2023;8(4):212-21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3.</w:t>
          </w:r>
        </w:p>
      </w:tc>
    </w:tr>
  </w:tbl>
  <w:p w:rsidR="00093F3F" w:rsidRDefault="00093F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3F" w:rsidRDefault="00093F3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7654" w:type="dxa"/>
      <w:tblInd w:w="0" w:type="dxa"/>
      <w:tblLayout w:type="fixed"/>
      <w:tblLook w:val="0400" w:firstRow="0" w:lastRow="0" w:firstColumn="0" w:lastColumn="0" w:noHBand="0" w:noVBand="1"/>
    </w:tblPr>
    <w:tblGrid>
      <w:gridCol w:w="7654"/>
    </w:tblGrid>
    <w:tr w:rsidR="00093F3F">
      <w:tc>
        <w:tcPr>
          <w:tcW w:w="7654" w:type="dxa"/>
          <w:tcBorders>
            <w:top w:val="single" w:sz="4" w:space="0" w:color="000000"/>
          </w:tcBorders>
        </w:tcPr>
        <w:p w:rsidR="00093F3F" w:rsidRDefault="008238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: Investigación Aplicada a las Ciencias Biológicas. Universidad Católica de Córdoba. Jacinto Ríos 571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Bº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Gral. Paz. X5004FXS. Córdoba. Argentina. Tel.: (54) 351 4517299 / Correo: methodo@ucc.edu.ar / |</w:t>
          </w:r>
          <w:r>
            <w:rPr>
              <w:color w:val="000000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NARRATIVA Rev.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2024;9(1):69.</w:t>
          </w:r>
        </w:p>
      </w:tc>
    </w:tr>
  </w:tbl>
  <w:p w:rsidR="00093F3F" w:rsidRDefault="00093F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813" w:rsidRDefault="00823813">
      <w:r>
        <w:separator/>
      </w:r>
    </w:p>
  </w:footnote>
  <w:footnote w:type="continuationSeparator" w:id="0">
    <w:p w:rsidR="00823813" w:rsidRDefault="0082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3F" w:rsidRDefault="00093F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3F" w:rsidRDefault="008238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proofErr w:type="spellStart"/>
    <w:r>
      <w:rPr>
        <w:rFonts w:ascii="Arial" w:eastAsia="Arial" w:hAnsi="Arial" w:cs="Arial"/>
        <w:color w:val="000000"/>
        <w:sz w:val="16"/>
        <w:szCs w:val="16"/>
      </w:rPr>
      <w:t>Kronwitter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C.L. </w:t>
    </w:r>
    <w:r>
      <w:rPr>
        <w:rFonts w:ascii="Arial" w:eastAsia="Arial" w:hAnsi="Arial" w:cs="Arial"/>
        <w:i/>
        <w:color w:val="000000"/>
        <w:sz w:val="16"/>
        <w:szCs w:val="16"/>
      </w:rPr>
      <w:t>Ciencia con conciencia y compromiso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3F" w:rsidRDefault="008238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412213" cy="1276340"/>
          <wp:effectExtent l="0" t="0" r="0" b="0"/>
          <wp:docPr id="3" name="image2.jpg" descr="C:\Users\Docente\Downloads\Revista Methodo Logo 20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Docente\Downloads\Revista Methodo Logo 20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2213" cy="1276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93F3F" w:rsidRDefault="00093F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3F"/>
    <w:rsid w:val="00056477"/>
    <w:rsid w:val="00093F3F"/>
    <w:rsid w:val="007513BE"/>
    <w:rsid w:val="0082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59E0"/>
  <w15:docId w15:val="{A5CB5CAB-93FA-4F35-A83B-E9CD9AFD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rcid.org/0009-0001-6584-013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0vKDZ6kPda7Fa/uiDvKDDCUaDQ==">CgMxLjAyCWguMzBqMHpsbDIIaC5namRneHM4AHIhMW9vZWtvM0VfLWk1d1Q1THJXTVBfNF9fVF9WbC0zLUhn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UCCOffice2019Standard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Guidotti</dc:creator>
  <cp:lastModifiedBy>Marta Guidotti</cp:lastModifiedBy>
  <cp:revision>2</cp:revision>
  <dcterms:created xsi:type="dcterms:W3CDTF">2024-02-07T14:58:00Z</dcterms:created>
  <dcterms:modified xsi:type="dcterms:W3CDTF">2024-02-07T14:58:00Z</dcterms:modified>
</cp:coreProperties>
</file>