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B07" w:rsidRDefault="00716E36">
      <w:pPr>
        <w:pStyle w:val="Ttulo1"/>
        <w:spacing w:before="0" w:after="0"/>
        <w:ind w:hanging="142"/>
        <w:jc w:val="center"/>
        <w:rPr>
          <w:rFonts w:ascii="Arial" w:eastAsia="Arial" w:hAnsi="Arial" w:cs="Arial"/>
          <w:b w:val="0"/>
          <w:sz w:val="18"/>
          <w:szCs w:val="18"/>
        </w:rPr>
      </w:pPr>
      <w:r>
        <w:rPr>
          <w:rFonts w:ascii="Arial" w:eastAsia="Arial" w:hAnsi="Arial" w:cs="Arial"/>
          <w:b w:val="0"/>
          <w:sz w:val="20"/>
          <w:szCs w:val="20"/>
        </w:rPr>
        <w:t xml:space="preserve">                                                                               </w:t>
      </w:r>
      <w:r w:rsidR="00751003">
        <w:rPr>
          <w:rFonts w:ascii="Arial" w:eastAsia="Arial" w:hAnsi="Arial" w:cs="Arial"/>
          <w:b w:val="0"/>
          <w:sz w:val="20"/>
          <w:szCs w:val="20"/>
        </w:rPr>
        <w:t xml:space="preserve">    </w:t>
      </w:r>
      <w:r>
        <w:rPr>
          <w:rFonts w:ascii="Arial" w:eastAsia="Arial" w:hAnsi="Arial" w:cs="Arial"/>
          <w:b w:val="0"/>
          <w:sz w:val="20"/>
          <w:szCs w:val="20"/>
        </w:rPr>
        <w:t xml:space="preserve">CONFERENCIA Rev. </w:t>
      </w:r>
      <w:proofErr w:type="spellStart"/>
      <w:r w:rsidR="001D03C3">
        <w:rPr>
          <w:rFonts w:ascii="Arial" w:eastAsia="Arial" w:hAnsi="Arial" w:cs="Arial"/>
          <w:b w:val="0"/>
          <w:sz w:val="18"/>
          <w:szCs w:val="18"/>
        </w:rPr>
        <w:t>Methodo</w:t>
      </w:r>
      <w:proofErr w:type="spellEnd"/>
      <w:r w:rsidR="001D03C3">
        <w:rPr>
          <w:rFonts w:ascii="Arial" w:eastAsia="Arial" w:hAnsi="Arial" w:cs="Arial"/>
          <w:b w:val="0"/>
          <w:sz w:val="18"/>
          <w:szCs w:val="18"/>
        </w:rPr>
        <w:t xml:space="preserve"> 202</w:t>
      </w:r>
      <w:r w:rsidR="00751003">
        <w:rPr>
          <w:rFonts w:ascii="Arial" w:eastAsia="Arial" w:hAnsi="Arial" w:cs="Arial"/>
          <w:b w:val="0"/>
          <w:sz w:val="18"/>
          <w:szCs w:val="18"/>
        </w:rPr>
        <w:t>4</w:t>
      </w:r>
      <w:r w:rsidR="001D03C3">
        <w:rPr>
          <w:rFonts w:ascii="Arial" w:eastAsia="Arial" w:hAnsi="Arial" w:cs="Arial"/>
          <w:b w:val="0"/>
          <w:sz w:val="18"/>
          <w:szCs w:val="18"/>
        </w:rPr>
        <w:t>;</w:t>
      </w:r>
      <w:r w:rsidR="00751003">
        <w:rPr>
          <w:rFonts w:ascii="Arial" w:eastAsia="Arial" w:hAnsi="Arial" w:cs="Arial"/>
          <w:b w:val="0"/>
          <w:sz w:val="18"/>
          <w:szCs w:val="18"/>
        </w:rPr>
        <w:t>9</w:t>
      </w:r>
      <w:r w:rsidR="001D03C3">
        <w:rPr>
          <w:rFonts w:ascii="Arial" w:eastAsia="Arial" w:hAnsi="Arial" w:cs="Arial"/>
          <w:b w:val="0"/>
          <w:sz w:val="18"/>
          <w:szCs w:val="18"/>
        </w:rPr>
        <w:t>(</w:t>
      </w:r>
      <w:r w:rsidR="00751003">
        <w:rPr>
          <w:rFonts w:ascii="Arial" w:eastAsia="Arial" w:hAnsi="Arial" w:cs="Arial"/>
          <w:b w:val="0"/>
          <w:sz w:val="18"/>
          <w:szCs w:val="18"/>
        </w:rPr>
        <w:t>1</w:t>
      </w:r>
      <w:r w:rsidR="0062319F">
        <w:rPr>
          <w:rFonts w:ascii="Arial" w:eastAsia="Arial" w:hAnsi="Arial" w:cs="Arial"/>
          <w:b w:val="0"/>
          <w:sz w:val="18"/>
          <w:szCs w:val="18"/>
        </w:rPr>
        <w:t>):</w:t>
      </w:r>
      <w:r w:rsidR="008D55F5">
        <w:rPr>
          <w:rFonts w:ascii="Arial" w:eastAsia="Arial" w:hAnsi="Arial" w:cs="Arial"/>
          <w:b w:val="0"/>
          <w:sz w:val="18"/>
          <w:szCs w:val="18"/>
        </w:rPr>
        <w:t>57-58</w:t>
      </w:r>
    </w:p>
    <w:p w:rsidR="00637B07" w:rsidRPr="008D55F5" w:rsidRDefault="008D55F5">
      <w:pPr>
        <w:pStyle w:val="Ttulo1"/>
        <w:spacing w:before="0" w:after="0"/>
        <w:ind w:hanging="142"/>
        <w:jc w:val="right"/>
        <w:rPr>
          <w:rFonts w:ascii="Arial" w:eastAsia="Arial" w:hAnsi="Arial" w:cs="Arial"/>
          <w:b w:val="0"/>
          <w:sz w:val="17"/>
          <w:szCs w:val="17"/>
        </w:rPr>
      </w:pPr>
      <w:hyperlink r:id="rId8" w:history="1">
        <w:r w:rsidR="008020AC" w:rsidRPr="008D55F5">
          <w:rPr>
            <w:rStyle w:val="Hipervnculo"/>
            <w:rFonts w:ascii="Verdana" w:eastAsia="Verdana" w:hAnsi="Verdana" w:cs="Verdana"/>
            <w:b w:val="0"/>
            <w:color w:val="auto"/>
            <w:sz w:val="17"/>
            <w:szCs w:val="17"/>
          </w:rPr>
          <w:t>https://doi.org/10.22529/me.202</w:t>
        </w:r>
        <w:r w:rsidR="00751003" w:rsidRPr="008D55F5">
          <w:rPr>
            <w:rStyle w:val="Hipervnculo"/>
            <w:rFonts w:ascii="Verdana" w:eastAsia="Verdana" w:hAnsi="Verdana" w:cs="Verdana"/>
            <w:b w:val="0"/>
            <w:color w:val="auto"/>
            <w:sz w:val="17"/>
            <w:szCs w:val="17"/>
          </w:rPr>
          <w:t>4</w:t>
        </w:r>
        <w:r w:rsidR="008020AC" w:rsidRPr="008D55F5">
          <w:rPr>
            <w:rStyle w:val="Hipervnculo"/>
            <w:rFonts w:ascii="Verdana" w:eastAsia="Verdana" w:hAnsi="Verdana" w:cs="Verdana"/>
            <w:b w:val="0"/>
            <w:color w:val="auto"/>
            <w:sz w:val="17"/>
            <w:szCs w:val="17"/>
          </w:rPr>
          <w:t>.</w:t>
        </w:r>
        <w:r w:rsidR="00751003" w:rsidRPr="008D55F5">
          <w:rPr>
            <w:rStyle w:val="Hipervnculo"/>
            <w:rFonts w:ascii="Verdana" w:eastAsia="Verdana" w:hAnsi="Verdana" w:cs="Verdana"/>
            <w:b w:val="0"/>
            <w:color w:val="auto"/>
            <w:sz w:val="17"/>
            <w:szCs w:val="17"/>
          </w:rPr>
          <w:t>9</w:t>
        </w:r>
        <w:r w:rsidR="00716E36" w:rsidRPr="008D55F5">
          <w:rPr>
            <w:rStyle w:val="Hipervnculo"/>
            <w:rFonts w:ascii="Verdana" w:eastAsia="Verdana" w:hAnsi="Verdana" w:cs="Verdana"/>
            <w:b w:val="0"/>
            <w:color w:val="auto"/>
            <w:sz w:val="17"/>
            <w:szCs w:val="17"/>
            <w:highlight w:val="white"/>
          </w:rPr>
          <w:t>(</w:t>
        </w:r>
        <w:r w:rsidR="00751003" w:rsidRPr="008D55F5">
          <w:rPr>
            <w:rStyle w:val="Hipervnculo"/>
            <w:rFonts w:ascii="Verdana" w:eastAsia="Verdana" w:hAnsi="Verdana" w:cs="Verdana"/>
            <w:b w:val="0"/>
            <w:color w:val="auto"/>
            <w:sz w:val="17"/>
            <w:szCs w:val="17"/>
            <w:highlight w:val="white"/>
          </w:rPr>
          <w:t>1</w:t>
        </w:r>
        <w:r w:rsidR="00716E36" w:rsidRPr="008D55F5">
          <w:rPr>
            <w:rStyle w:val="Hipervnculo"/>
            <w:rFonts w:ascii="Verdana" w:eastAsia="Verdana" w:hAnsi="Verdana" w:cs="Verdana"/>
            <w:b w:val="0"/>
            <w:color w:val="auto"/>
            <w:sz w:val="17"/>
            <w:szCs w:val="17"/>
            <w:highlight w:val="white"/>
          </w:rPr>
          <w:t>)</w:t>
        </w:r>
        <w:r w:rsidRPr="008D55F5">
          <w:rPr>
            <w:rStyle w:val="Hipervnculo"/>
            <w:rFonts w:ascii="Verdana" w:eastAsia="Verdana" w:hAnsi="Verdana" w:cs="Verdana"/>
            <w:b w:val="0"/>
            <w:color w:val="auto"/>
            <w:sz w:val="17"/>
            <w:szCs w:val="17"/>
          </w:rPr>
          <w:t>07</w:t>
        </w:r>
      </w:hyperlink>
    </w:p>
    <w:tbl>
      <w:tblPr>
        <w:tblStyle w:val="a7"/>
        <w:tblW w:w="8539"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529"/>
        <w:gridCol w:w="3010"/>
      </w:tblGrid>
      <w:tr w:rsidR="00637B07" w:rsidTr="00751003">
        <w:trPr>
          <w:trHeight w:val="308"/>
        </w:trPr>
        <w:tc>
          <w:tcPr>
            <w:tcW w:w="5529" w:type="dxa"/>
            <w:vAlign w:val="center"/>
          </w:tcPr>
          <w:p w:rsidR="00637B07" w:rsidRDefault="00716E36">
            <w:pPr>
              <w:spacing w:line="360" w:lineRule="auto"/>
              <w:rPr>
                <w:rFonts w:ascii="Arial" w:eastAsia="Arial" w:hAnsi="Arial" w:cs="Arial"/>
                <w:sz w:val="16"/>
                <w:szCs w:val="16"/>
              </w:rPr>
            </w:pPr>
            <w:r>
              <w:rPr>
                <w:rFonts w:ascii="Arial" w:eastAsia="Arial" w:hAnsi="Arial" w:cs="Arial"/>
                <w:sz w:val="16"/>
                <w:szCs w:val="16"/>
              </w:rPr>
              <w:t xml:space="preserve">                              </w:t>
            </w:r>
            <w:r w:rsidR="00C44FAF">
              <w:rPr>
                <w:rFonts w:ascii="Arial" w:eastAsia="Arial" w:hAnsi="Arial" w:cs="Arial"/>
                <w:sz w:val="16"/>
                <w:szCs w:val="16"/>
              </w:rPr>
              <w:t xml:space="preserve">         </w:t>
            </w:r>
            <w:r w:rsidR="00751003">
              <w:rPr>
                <w:rFonts w:ascii="Arial" w:eastAsia="Arial" w:hAnsi="Arial" w:cs="Arial"/>
                <w:sz w:val="16"/>
                <w:szCs w:val="16"/>
              </w:rPr>
              <w:t xml:space="preserve"> </w:t>
            </w:r>
            <w:r w:rsidR="00C5239B">
              <w:rPr>
                <w:rFonts w:ascii="Arial" w:eastAsia="Arial" w:hAnsi="Arial" w:cs="Arial"/>
                <w:sz w:val="16"/>
                <w:szCs w:val="16"/>
              </w:rPr>
              <w:t>Recibido 1</w:t>
            </w:r>
            <w:r w:rsidR="00751003">
              <w:rPr>
                <w:rFonts w:ascii="Arial" w:eastAsia="Arial" w:hAnsi="Arial" w:cs="Arial"/>
                <w:sz w:val="16"/>
                <w:szCs w:val="16"/>
              </w:rPr>
              <w:t xml:space="preserve">1 </w:t>
            </w:r>
            <w:r w:rsidR="00C5239B">
              <w:rPr>
                <w:rFonts w:ascii="Arial" w:eastAsia="Arial" w:hAnsi="Arial" w:cs="Arial"/>
                <w:sz w:val="16"/>
                <w:szCs w:val="16"/>
              </w:rPr>
              <w:t>Nov. 202</w:t>
            </w:r>
            <w:r w:rsidR="00751003">
              <w:rPr>
                <w:rFonts w:ascii="Arial" w:eastAsia="Arial" w:hAnsi="Arial" w:cs="Arial"/>
                <w:sz w:val="16"/>
                <w:szCs w:val="16"/>
              </w:rPr>
              <w:t>3</w:t>
            </w:r>
            <w:r w:rsidR="00C5239B">
              <w:rPr>
                <w:rFonts w:ascii="Arial" w:eastAsia="Arial" w:hAnsi="Arial" w:cs="Arial"/>
                <w:sz w:val="16"/>
                <w:szCs w:val="16"/>
              </w:rPr>
              <w:t xml:space="preserve"> | Publicado </w:t>
            </w:r>
            <w:r w:rsidR="008600FF">
              <w:rPr>
                <w:rFonts w:ascii="Arial" w:eastAsia="Arial" w:hAnsi="Arial" w:cs="Arial"/>
                <w:sz w:val="16"/>
                <w:szCs w:val="16"/>
              </w:rPr>
              <w:t>0</w:t>
            </w:r>
            <w:r w:rsidR="00751003">
              <w:rPr>
                <w:rFonts w:ascii="Arial" w:eastAsia="Arial" w:hAnsi="Arial" w:cs="Arial"/>
                <w:sz w:val="16"/>
                <w:szCs w:val="16"/>
              </w:rPr>
              <w:t>5</w:t>
            </w:r>
            <w:r w:rsidR="00C44FAF">
              <w:rPr>
                <w:rFonts w:ascii="Arial" w:eastAsia="Arial" w:hAnsi="Arial" w:cs="Arial"/>
                <w:sz w:val="16"/>
                <w:szCs w:val="16"/>
              </w:rPr>
              <w:t xml:space="preserve"> </w:t>
            </w:r>
            <w:r w:rsidR="00751003">
              <w:rPr>
                <w:rFonts w:ascii="Arial" w:eastAsia="Arial" w:hAnsi="Arial" w:cs="Arial"/>
                <w:sz w:val="16"/>
                <w:szCs w:val="16"/>
              </w:rPr>
              <w:t>Ene</w:t>
            </w:r>
            <w:r w:rsidR="00C44FAF">
              <w:rPr>
                <w:rFonts w:ascii="Arial" w:eastAsia="Arial" w:hAnsi="Arial" w:cs="Arial"/>
                <w:sz w:val="16"/>
                <w:szCs w:val="16"/>
              </w:rPr>
              <w:t>.</w:t>
            </w:r>
            <w:r w:rsidR="008600FF">
              <w:rPr>
                <w:rFonts w:ascii="Arial" w:eastAsia="Arial" w:hAnsi="Arial" w:cs="Arial"/>
                <w:sz w:val="16"/>
                <w:szCs w:val="16"/>
              </w:rPr>
              <w:t xml:space="preserve"> </w:t>
            </w:r>
            <w:r w:rsidR="00C44FAF">
              <w:rPr>
                <w:rFonts w:ascii="Arial" w:eastAsia="Arial" w:hAnsi="Arial" w:cs="Arial"/>
                <w:sz w:val="16"/>
                <w:szCs w:val="16"/>
              </w:rPr>
              <w:t>202</w:t>
            </w:r>
            <w:r w:rsidR="0062319F">
              <w:rPr>
                <w:rFonts w:ascii="Arial" w:eastAsia="Arial" w:hAnsi="Arial" w:cs="Arial"/>
                <w:sz w:val="16"/>
                <w:szCs w:val="16"/>
              </w:rPr>
              <w:t>4</w:t>
            </w:r>
          </w:p>
        </w:tc>
        <w:tc>
          <w:tcPr>
            <w:tcW w:w="3010" w:type="dxa"/>
            <w:shd w:val="clear" w:color="auto" w:fill="509D2F"/>
            <w:vAlign w:val="center"/>
          </w:tcPr>
          <w:p w:rsidR="00637B07" w:rsidRDefault="00637B07">
            <w:pPr>
              <w:spacing w:line="360" w:lineRule="auto"/>
              <w:jc w:val="center"/>
              <w:rPr>
                <w:rFonts w:ascii="Arial" w:eastAsia="Arial" w:hAnsi="Arial" w:cs="Arial"/>
                <w:sz w:val="16"/>
                <w:szCs w:val="16"/>
              </w:rPr>
            </w:pPr>
          </w:p>
        </w:tc>
      </w:tr>
    </w:tbl>
    <w:tbl>
      <w:tblPr>
        <w:tblStyle w:val="a8"/>
        <w:tblW w:w="85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79"/>
      </w:tblGrid>
      <w:tr w:rsidR="00637B07" w:rsidRPr="008D55F5">
        <w:trPr>
          <w:trHeight w:val="1689"/>
        </w:trPr>
        <w:tc>
          <w:tcPr>
            <w:tcW w:w="8579" w:type="dxa"/>
          </w:tcPr>
          <w:p w:rsidR="005F5B74" w:rsidRPr="00751003" w:rsidRDefault="005F5B74" w:rsidP="00751003">
            <w:pPr>
              <w:pStyle w:val="TituloDocumento"/>
              <w:jc w:val="both"/>
            </w:pPr>
            <w:r w:rsidRPr="00751003">
              <w:t>Desafíos éticos de la globalización para la investigación clínica</w:t>
            </w:r>
          </w:p>
          <w:p w:rsidR="00637B07" w:rsidRPr="005F5B74" w:rsidRDefault="00412121" w:rsidP="00751003">
            <w:pPr>
              <w:pStyle w:val="TituloDocumento"/>
              <w:jc w:val="both"/>
              <w:rPr>
                <w:rFonts w:eastAsia="Arial"/>
                <w:lang w:val="en-US"/>
              </w:rPr>
            </w:pPr>
            <w:r w:rsidRPr="00EB0F5C">
              <w:rPr>
                <w:lang w:val="en-US"/>
              </w:rPr>
              <w:t>Science with Awareness and Commitment</w:t>
            </w:r>
          </w:p>
        </w:tc>
      </w:tr>
      <w:tr w:rsidR="00637B07">
        <w:trPr>
          <w:trHeight w:val="1007"/>
        </w:trPr>
        <w:tc>
          <w:tcPr>
            <w:tcW w:w="8579" w:type="dxa"/>
          </w:tcPr>
          <w:p w:rsidR="00637B07" w:rsidRDefault="005F5B74">
            <w:pPr>
              <w:rPr>
                <w:color w:val="005000"/>
                <w:sz w:val="20"/>
                <w:szCs w:val="20"/>
              </w:rPr>
            </w:pPr>
            <w:r w:rsidRPr="005F5B74">
              <w:rPr>
                <w:sz w:val="20"/>
                <w:szCs w:val="20"/>
              </w:rPr>
              <w:t>Ingrid Strusberg</w:t>
            </w:r>
            <w:r w:rsidR="00716E36">
              <w:rPr>
                <w:sz w:val="20"/>
                <w:szCs w:val="20"/>
                <w:vertAlign w:val="superscript"/>
              </w:rPr>
              <w:t>1</w:t>
            </w:r>
            <w:r w:rsidR="00716E36">
              <w:rPr>
                <w:noProof/>
                <w:lang w:val="en-US" w:eastAsia="en-US"/>
              </w:rPr>
              <w:drawing>
                <wp:inline distT="0" distB="0" distL="0" distR="0">
                  <wp:extent cx="227577" cy="183325"/>
                  <wp:effectExtent l="0" t="0" r="1270" b="7620"/>
                  <wp:docPr id="50"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0" name="image1.png">
                            <a:hlinkClick r:id="rId9"/>
                          </pic:cNvPr>
                          <pic:cNvPicPr preferRelativeResize="0"/>
                        </pic:nvPicPr>
                        <pic:blipFill>
                          <a:blip r:embed="rId10"/>
                          <a:srcRect/>
                          <a:stretch>
                            <a:fillRect/>
                          </a:stretch>
                        </pic:blipFill>
                        <pic:spPr>
                          <a:xfrm>
                            <a:off x="0" y="0"/>
                            <a:ext cx="227577" cy="183325"/>
                          </a:xfrm>
                          <a:prstGeom prst="rect">
                            <a:avLst/>
                          </a:prstGeom>
                          <a:ln/>
                        </pic:spPr>
                      </pic:pic>
                    </a:graphicData>
                  </a:graphic>
                </wp:inline>
              </w:drawing>
            </w:r>
          </w:p>
        </w:tc>
      </w:tr>
      <w:tr w:rsidR="00637B07">
        <w:trPr>
          <w:trHeight w:val="748"/>
        </w:trPr>
        <w:tc>
          <w:tcPr>
            <w:tcW w:w="8579" w:type="dxa"/>
          </w:tcPr>
          <w:p w:rsidR="00637B07" w:rsidRPr="00751003" w:rsidRDefault="00637B07">
            <w:pPr>
              <w:jc w:val="both"/>
              <w:rPr>
                <w:rFonts w:ascii="Arial" w:eastAsia="Arial" w:hAnsi="Arial" w:cs="Arial"/>
                <w:sz w:val="20"/>
                <w:szCs w:val="20"/>
              </w:rPr>
            </w:pPr>
          </w:p>
          <w:p w:rsidR="00637B07" w:rsidRPr="005F5B74" w:rsidRDefault="003116E6">
            <w:pPr>
              <w:ind w:left="851" w:right="851"/>
              <w:jc w:val="both"/>
              <w:rPr>
                <w:rFonts w:ascii="Arial" w:eastAsia="Arial" w:hAnsi="Arial" w:cs="Arial"/>
                <w:color w:val="005000"/>
                <w:sz w:val="20"/>
                <w:szCs w:val="20"/>
                <w:highlight w:val="yellow"/>
              </w:rPr>
            </w:pPr>
            <w:r w:rsidRPr="00751003">
              <w:rPr>
                <w:rFonts w:ascii="Arial" w:eastAsia="Arial" w:hAnsi="Arial" w:cs="Arial"/>
                <w:sz w:val="20"/>
                <w:szCs w:val="20"/>
              </w:rPr>
              <w:t>Discurso en las XX</w:t>
            </w:r>
            <w:r w:rsidR="00716E36" w:rsidRPr="00751003">
              <w:rPr>
                <w:rFonts w:ascii="Arial" w:eastAsia="Arial" w:hAnsi="Arial" w:cs="Arial"/>
                <w:sz w:val="20"/>
                <w:szCs w:val="20"/>
              </w:rPr>
              <w:t xml:space="preserve"> Jornadas de Investigación Científica Clínica Universitaria Reina Fabiola.</w:t>
            </w:r>
          </w:p>
        </w:tc>
      </w:tr>
      <w:tr w:rsidR="00637B07">
        <w:trPr>
          <w:trHeight w:val="564"/>
        </w:trPr>
        <w:tc>
          <w:tcPr>
            <w:tcW w:w="8579" w:type="dxa"/>
          </w:tcPr>
          <w:p w:rsidR="00637B07" w:rsidRDefault="00637B07">
            <w:pPr>
              <w:ind w:left="851" w:right="851"/>
              <w:jc w:val="both"/>
              <w:rPr>
                <w:rFonts w:ascii="Arial" w:eastAsia="Arial" w:hAnsi="Arial" w:cs="Arial"/>
                <w:color w:val="005000"/>
                <w:sz w:val="16"/>
                <w:szCs w:val="16"/>
              </w:rPr>
            </w:pPr>
          </w:p>
        </w:tc>
      </w:tr>
      <w:tr w:rsidR="00637B07">
        <w:trPr>
          <w:trHeight w:val="1968"/>
        </w:trPr>
        <w:tc>
          <w:tcPr>
            <w:tcW w:w="8579" w:type="dxa"/>
          </w:tcPr>
          <w:p w:rsidR="0062319F" w:rsidRPr="0062319F" w:rsidRDefault="0062319F" w:rsidP="0062319F">
            <w:pPr>
              <w:pBdr>
                <w:top w:val="nil"/>
                <w:left w:val="nil"/>
                <w:bottom w:val="nil"/>
                <w:right w:val="nil"/>
                <w:between w:val="nil"/>
              </w:pBdr>
              <w:ind w:left="4715"/>
              <w:jc w:val="both"/>
              <w:rPr>
                <w:color w:val="000000"/>
                <w:sz w:val="18"/>
                <w:szCs w:val="18"/>
              </w:rPr>
            </w:pPr>
            <w:r w:rsidRPr="0062319F">
              <w:rPr>
                <w:color w:val="000000"/>
                <w:sz w:val="18"/>
                <w:szCs w:val="18"/>
              </w:rPr>
              <w:t xml:space="preserve">1.Directora Instituto Médico </w:t>
            </w:r>
            <w:proofErr w:type="spellStart"/>
            <w:r w:rsidRPr="0062319F">
              <w:rPr>
                <w:color w:val="000000"/>
                <w:sz w:val="18"/>
                <w:szCs w:val="18"/>
              </w:rPr>
              <w:t>Strusberg</w:t>
            </w:r>
            <w:proofErr w:type="spellEnd"/>
          </w:p>
          <w:p w:rsidR="0062319F" w:rsidRPr="0062319F" w:rsidRDefault="0062319F" w:rsidP="0062319F">
            <w:pPr>
              <w:pBdr>
                <w:top w:val="nil"/>
                <w:left w:val="nil"/>
                <w:bottom w:val="nil"/>
                <w:right w:val="nil"/>
                <w:between w:val="nil"/>
              </w:pBdr>
              <w:ind w:left="4715"/>
              <w:jc w:val="both"/>
              <w:rPr>
                <w:color w:val="000000"/>
                <w:sz w:val="18"/>
                <w:szCs w:val="18"/>
              </w:rPr>
            </w:pPr>
            <w:r w:rsidRPr="0062319F">
              <w:rPr>
                <w:color w:val="000000"/>
                <w:sz w:val="18"/>
                <w:szCs w:val="18"/>
              </w:rPr>
              <w:t>Universidad Nacional de Córdoba. Facultad de Ciencias Médicas. C</w:t>
            </w:r>
            <w:r w:rsidR="006009D8">
              <w:rPr>
                <w:color w:val="000000"/>
                <w:sz w:val="18"/>
                <w:szCs w:val="18"/>
              </w:rPr>
              <w:t>á</w:t>
            </w:r>
            <w:r w:rsidRPr="0062319F">
              <w:rPr>
                <w:color w:val="000000"/>
                <w:sz w:val="18"/>
                <w:szCs w:val="18"/>
              </w:rPr>
              <w:t xml:space="preserve">tedra de Semiología.  </w:t>
            </w:r>
          </w:p>
          <w:p w:rsidR="00637B07" w:rsidRDefault="0062319F" w:rsidP="0062319F">
            <w:pPr>
              <w:pBdr>
                <w:top w:val="nil"/>
                <w:left w:val="nil"/>
                <w:bottom w:val="nil"/>
                <w:right w:val="nil"/>
                <w:between w:val="nil"/>
              </w:pBdr>
              <w:ind w:left="4715"/>
              <w:rPr>
                <w:rFonts w:ascii="Arial" w:eastAsia="Arial" w:hAnsi="Arial" w:cs="Arial"/>
                <w:color w:val="000000"/>
                <w:sz w:val="16"/>
                <w:szCs w:val="16"/>
              </w:rPr>
            </w:pPr>
            <w:r w:rsidRPr="0062319F">
              <w:rPr>
                <w:color w:val="000000"/>
                <w:sz w:val="18"/>
                <w:szCs w:val="18"/>
              </w:rPr>
              <w:t>Correspondencia:</w:t>
            </w:r>
            <w:r>
              <w:rPr>
                <w:color w:val="000000"/>
                <w:sz w:val="18"/>
                <w:szCs w:val="18"/>
              </w:rPr>
              <w:t xml:space="preserve"> </w:t>
            </w:r>
            <w:r w:rsidRPr="0062319F">
              <w:rPr>
                <w:color w:val="000000"/>
                <w:sz w:val="18"/>
                <w:szCs w:val="18"/>
              </w:rPr>
              <w:t xml:space="preserve">Ingrid </w:t>
            </w:r>
            <w:proofErr w:type="spellStart"/>
            <w:r w:rsidRPr="0062319F">
              <w:rPr>
                <w:color w:val="000000"/>
                <w:sz w:val="18"/>
                <w:szCs w:val="18"/>
              </w:rPr>
              <w:t>Strusberg</w:t>
            </w:r>
            <w:proofErr w:type="spellEnd"/>
            <w:r w:rsidRPr="0062319F">
              <w:rPr>
                <w:color w:val="000000"/>
                <w:sz w:val="18"/>
                <w:szCs w:val="18"/>
              </w:rPr>
              <w:t xml:space="preserve"> inistrus@institutostrusberg.com</w:t>
            </w:r>
          </w:p>
        </w:tc>
      </w:tr>
    </w:tbl>
    <w:p w:rsidR="00FA089F" w:rsidRDefault="005F5B74" w:rsidP="00FA089F">
      <w:pPr>
        <w:ind w:left="709" w:firstLine="707"/>
        <w:jc w:val="both"/>
        <w:rPr>
          <w:color w:val="000000"/>
          <w:sz w:val="20"/>
          <w:szCs w:val="20"/>
        </w:rPr>
      </w:pPr>
      <w:r w:rsidRPr="005F5B74">
        <w:rPr>
          <w:color w:val="000000"/>
          <w:sz w:val="20"/>
          <w:szCs w:val="20"/>
        </w:rPr>
        <w:t>La hiperconectividad iniciada durante el proceso de globalización de los 70’ catalizó la trasformación cuali y cuantitativa de los institutos de investigación hacia la creación de</w:t>
      </w:r>
      <w:r w:rsidR="00FA089F">
        <w:rPr>
          <w:color w:val="000000"/>
          <w:sz w:val="20"/>
          <w:szCs w:val="20"/>
        </w:rPr>
        <w:t xml:space="preserve"> </w:t>
      </w:r>
      <w:r w:rsidRPr="005F5B74">
        <w:rPr>
          <w:color w:val="000000"/>
          <w:sz w:val="20"/>
          <w:szCs w:val="20"/>
        </w:rPr>
        <w:t xml:space="preserve">redes de investigadores calificados en el uso de técnicas y tecnologías que se fueron estandarizando y permitieron grandes logros mundiales colaborativos como el Proyecto Genoma Humano. La mejora en la expectativa de vida a lo largo del siglo XX fue consolidándose no solo gracias a la potabilización del agua, la vacunación y medicamentos que cambiaron la historia natural de muchas enfermedades, sino también debido a que las guías éticas en investigación biomédica se fueron encarnando en normas jurídicas de cumplimiento obligatorio en muchas regiones del mundo. </w:t>
      </w:r>
    </w:p>
    <w:p w:rsidR="005F5B74" w:rsidRPr="005F5B74" w:rsidRDefault="005F5B74" w:rsidP="00FA089F">
      <w:pPr>
        <w:ind w:left="709" w:firstLine="707"/>
        <w:jc w:val="both"/>
        <w:rPr>
          <w:color w:val="000000"/>
          <w:sz w:val="20"/>
          <w:szCs w:val="20"/>
        </w:rPr>
      </w:pPr>
      <w:r w:rsidRPr="005F5B74">
        <w:rPr>
          <w:color w:val="000000"/>
          <w:sz w:val="20"/>
          <w:szCs w:val="20"/>
        </w:rPr>
        <w:t xml:space="preserve">A mediados del siglo XX, tras el juicio a los médicos nazis, se creó el Código de Nuremberg. Esta piedra fundacional de la bioética moderna en investigación prioriza la voluntad y la seguridad de las personas. Sin embargo, ni el Juramento Hipocrático ni el Código de Nuremberg evitaron que médicos y otros miembros de los equipos de salud violaran los derechos humanos en investigaciones clínicas llevadas a cabo a posteriori. Reactivamente se crearon no solo los comités de ética para evaluar y </w:t>
      </w:r>
      <w:r w:rsidRPr="00505293">
        <w:rPr>
          <w:color w:val="000000"/>
          <w:sz w:val="20"/>
          <w:szCs w:val="20"/>
        </w:rPr>
        <w:t>monitor</w:t>
      </w:r>
      <w:r w:rsidR="00235882" w:rsidRPr="00505293">
        <w:rPr>
          <w:color w:val="000000"/>
          <w:sz w:val="20"/>
          <w:szCs w:val="20"/>
        </w:rPr>
        <w:t>e</w:t>
      </w:r>
      <w:r w:rsidRPr="00505293">
        <w:rPr>
          <w:color w:val="000000"/>
          <w:sz w:val="20"/>
          <w:szCs w:val="20"/>
        </w:rPr>
        <w:t>ar</w:t>
      </w:r>
      <w:r w:rsidRPr="005F5B74">
        <w:rPr>
          <w:color w:val="000000"/>
          <w:sz w:val="20"/>
          <w:szCs w:val="20"/>
        </w:rPr>
        <w:t xml:space="preserve"> las investigaciones, sino también sistemas gubernamentales dedicados a la fiscalización de todas las partes involucradas. Se entendió que los comités editoriales de revistas de divulgación científica también compartían la responsabilidad en el proceso de garantizar la confiablidad de los datos científicos. </w:t>
      </w:r>
    </w:p>
    <w:p w:rsidR="005F5B74" w:rsidRPr="005F5B74" w:rsidRDefault="00FA089F" w:rsidP="00FA089F">
      <w:pPr>
        <w:ind w:left="709" w:firstLine="707"/>
        <w:jc w:val="both"/>
        <w:rPr>
          <w:color w:val="000000"/>
          <w:sz w:val="20"/>
          <w:szCs w:val="20"/>
        </w:rPr>
      </w:pPr>
      <w:r>
        <w:rPr>
          <w:noProof/>
          <w:lang w:val="es-AR" w:eastAsia="es-AR"/>
        </w:rPr>
        <mc:AlternateContent>
          <mc:Choice Requires="wps">
            <w:drawing>
              <wp:anchor distT="0" distB="0" distL="114300" distR="114300" simplePos="0" relativeHeight="251659264" behindDoc="0" locked="0" layoutInCell="1" allowOverlap="1" wp14:anchorId="104B5AB2" wp14:editId="35E31B6F">
                <wp:simplePos x="0" y="0"/>
                <wp:positionH relativeFrom="rightMargin">
                  <wp:posOffset>76835</wp:posOffset>
                </wp:positionH>
                <wp:positionV relativeFrom="paragraph">
                  <wp:posOffset>923925</wp:posOffset>
                </wp:positionV>
                <wp:extent cx="434340" cy="388620"/>
                <wp:effectExtent l="0" t="0" r="22860" b="11430"/>
                <wp:wrapNone/>
                <wp:docPr id="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FA089F" w:rsidRPr="0030332A" w:rsidRDefault="008D55F5" w:rsidP="00FA089F">
                            <w:pPr>
                              <w:jc w:val="center"/>
                              <w:textDirection w:val="btLr"/>
                              <w:rPr>
                                <w:b/>
                                <w:color w:val="FFFFFF" w:themeColor="background1"/>
                                <w:lang w:val="es-MX"/>
                              </w:rPr>
                            </w:pPr>
                            <w:r>
                              <w:rPr>
                                <w:b/>
                                <w:color w:val="FFFFFF" w:themeColor="background1"/>
                                <w:lang w:val="es-MX"/>
                              </w:rPr>
                              <w:t>57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4B5AB2" id="Rectángulo 7" o:spid="_x0000_s1026" style="position:absolute;left:0;text-align:left;margin-left:6.05pt;margin-top:72.75pt;width:34.2pt;height:30.6pt;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" fillcolor="#509d2f">
                <v:stroke startarrowwidth="narrow" startarrowlength="short" endarrowwidth="narrow" endarrowlength="short" joinstyle="round"/>
                <v:textbox inset="2.53958mm,1.2694mm,2.53958mm,1.2694mm">
                  <w:txbxContent>
                    <w:p w:rsidR="00FA089F" w:rsidRPr="0030332A" w:rsidRDefault="008D55F5" w:rsidP="00FA089F">
                      <w:pPr>
                        <w:jc w:val="center"/>
                        <w:textDirection w:val="btLr"/>
                        <w:rPr>
                          <w:b/>
                          <w:color w:val="FFFFFF" w:themeColor="background1"/>
                          <w:lang w:val="es-MX"/>
                        </w:rPr>
                      </w:pPr>
                      <w:r>
                        <w:rPr>
                          <w:b/>
                          <w:color w:val="FFFFFF" w:themeColor="background1"/>
                          <w:lang w:val="es-MX"/>
                        </w:rPr>
                        <w:t>57</w:t>
                      </w:r>
                    </w:p>
                  </w:txbxContent>
                </v:textbox>
                <w10:wrap anchorx="margin"/>
              </v:rect>
            </w:pict>
          </mc:Fallback>
        </mc:AlternateContent>
      </w:r>
      <w:r w:rsidR="005F5B74" w:rsidRPr="005F5B74">
        <w:rPr>
          <w:color w:val="000000"/>
          <w:sz w:val="20"/>
          <w:szCs w:val="20"/>
        </w:rPr>
        <w:t>El ejemplificador acuerdo internacional alcanzado en 1996 en materia de investigación clínica farmacológica</w:t>
      </w:r>
      <w:r w:rsidR="006009D8">
        <w:rPr>
          <w:color w:val="000000"/>
          <w:sz w:val="20"/>
          <w:szCs w:val="20"/>
        </w:rPr>
        <w:t xml:space="preserve">, </w:t>
      </w:r>
      <w:r w:rsidR="006009D8" w:rsidRPr="00505293">
        <w:rPr>
          <w:color w:val="000000"/>
          <w:sz w:val="20"/>
          <w:szCs w:val="20"/>
        </w:rPr>
        <w:t>conocido como Guía de Buenas Prácticas Clínicas</w:t>
      </w:r>
      <w:r w:rsidR="006009D8" w:rsidRPr="00505293">
        <w:rPr>
          <w:color w:val="000000"/>
          <w:sz w:val="20"/>
          <w:szCs w:val="20"/>
          <w:vertAlign w:val="superscript"/>
        </w:rPr>
        <w:t>1</w:t>
      </w:r>
      <w:r w:rsidR="006009D8">
        <w:rPr>
          <w:color w:val="000000"/>
          <w:sz w:val="20"/>
          <w:szCs w:val="20"/>
        </w:rPr>
        <w:t xml:space="preserve">, </w:t>
      </w:r>
      <w:r w:rsidR="005F5B74" w:rsidRPr="005F5B74">
        <w:rPr>
          <w:color w:val="000000"/>
          <w:sz w:val="20"/>
          <w:szCs w:val="20"/>
        </w:rPr>
        <w:t xml:space="preserve">llevó a la práctica los requisitos éticos, delineó las responsabilidades de patrocinadores, investigadores y comités de ética, evitó exponer a varias poblaciones a los mismos ensayos clínicos y aceleró el desarrollo de </w:t>
      </w:r>
      <w:r w:rsidR="005F5B74" w:rsidRPr="005F5B74">
        <w:rPr>
          <w:color w:val="000000"/>
          <w:sz w:val="20"/>
          <w:szCs w:val="20"/>
        </w:rPr>
        <w:lastRenderedPageBreak/>
        <w:t>fármacos, biomedicamentos, terapias celulares, génicas, inmunoterapia, la medicina de precisión, la fármaco-genómica, etc. Éste y otros consensos y leyes se han ido enmendando para acompañar los avances tecnológicos y los nuevos estándares éticos de la investigación en seres humanos, ayudando también a mantener estandarizadas las exigencias en capacitación.</w:t>
      </w:r>
    </w:p>
    <w:p w:rsidR="005F5B74" w:rsidRPr="005F5B74" w:rsidRDefault="005F5B74" w:rsidP="00FA089F">
      <w:pPr>
        <w:ind w:left="709" w:firstLine="707"/>
        <w:jc w:val="both"/>
        <w:rPr>
          <w:color w:val="000000"/>
          <w:sz w:val="20"/>
          <w:szCs w:val="20"/>
        </w:rPr>
      </w:pPr>
      <w:r w:rsidRPr="005F5B74">
        <w:rPr>
          <w:color w:val="000000"/>
          <w:sz w:val="20"/>
          <w:szCs w:val="20"/>
        </w:rPr>
        <w:t>La pandemia de SARS-CoV-2 redireccionó la agenda de investigación, la inversión en tecnología e involucró a los gobiernos en asuntos de ciencia, pero también permitió visibilizar la discusión postergada sobre la necesidad de que los avances científicos lleguen de manera equitativa a toda la humanidad. El control de la pandemia mostró que, como individuos, tenemos capacidad para influir de manera positiva y, como sociedad, estamos en un proceso constante de evolución (humanismo evolutivo). El ámbito de la salud está incorporando rápidamente evidencia de fuentes tecnológicas que recopilan datos de historia natural, de análisis “ómicos”, de investigaciones clínicas, de estudios de vida real, así como de datos informados por los pacientes desde sus dispositivos digitales</w:t>
      </w:r>
      <w:r w:rsidRPr="00FA089F">
        <w:rPr>
          <w:color w:val="000000"/>
          <w:sz w:val="20"/>
          <w:szCs w:val="20"/>
          <w:vertAlign w:val="superscript"/>
        </w:rPr>
        <w:t>2</w:t>
      </w:r>
      <w:r w:rsidRPr="005F5B74">
        <w:rPr>
          <w:color w:val="000000"/>
          <w:sz w:val="20"/>
          <w:szCs w:val="20"/>
        </w:rPr>
        <w:t xml:space="preserve">. Los avances en machine </w:t>
      </w:r>
      <w:proofErr w:type="spellStart"/>
      <w:r w:rsidRPr="005F5B74">
        <w:rPr>
          <w:color w:val="000000"/>
          <w:sz w:val="20"/>
          <w:szCs w:val="20"/>
        </w:rPr>
        <w:t>learning</w:t>
      </w:r>
      <w:proofErr w:type="spellEnd"/>
      <w:r w:rsidRPr="005F5B74">
        <w:rPr>
          <w:color w:val="000000"/>
          <w:sz w:val="20"/>
          <w:szCs w:val="20"/>
        </w:rPr>
        <w:t xml:space="preserve">, </w:t>
      </w:r>
      <w:proofErr w:type="spellStart"/>
      <w:r w:rsidRPr="005F5B74">
        <w:rPr>
          <w:color w:val="000000"/>
          <w:sz w:val="20"/>
          <w:szCs w:val="20"/>
        </w:rPr>
        <w:t>deep</w:t>
      </w:r>
      <w:proofErr w:type="spellEnd"/>
      <w:r w:rsidRPr="005F5B74">
        <w:rPr>
          <w:color w:val="000000"/>
          <w:sz w:val="20"/>
          <w:szCs w:val="20"/>
        </w:rPr>
        <w:t xml:space="preserve"> </w:t>
      </w:r>
      <w:proofErr w:type="spellStart"/>
      <w:r w:rsidRPr="005F5B74">
        <w:rPr>
          <w:color w:val="000000"/>
          <w:sz w:val="20"/>
          <w:szCs w:val="20"/>
        </w:rPr>
        <w:t>learning</w:t>
      </w:r>
      <w:proofErr w:type="spellEnd"/>
      <w:r w:rsidRPr="005F5B74">
        <w:rPr>
          <w:color w:val="000000"/>
          <w:sz w:val="20"/>
          <w:szCs w:val="20"/>
        </w:rPr>
        <w:t xml:space="preserve">, impresiones 3D, tecnología </w:t>
      </w:r>
      <w:r w:rsidRPr="008D55F5">
        <w:rPr>
          <w:color w:val="000000"/>
          <w:sz w:val="20"/>
          <w:szCs w:val="20"/>
        </w:rPr>
        <w:t>C</w:t>
      </w:r>
      <w:r w:rsidR="006009D8" w:rsidRPr="008D55F5">
        <w:rPr>
          <w:color w:val="000000"/>
          <w:sz w:val="20"/>
          <w:szCs w:val="20"/>
        </w:rPr>
        <w:t>RISPR</w:t>
      </w:r>
      <w:r w:rsidRPr="005F5B74">
        <w:rPr>
          <w:color w:val="000000"/>
          <w:sz w:val="20"/>
          <w:szCs w:val="20"/>
        </w:rPr>
        <w:t xml:space="preserve">, fabricación aditiva, nanotecnología, tecnología </w:t>
      </w:r>
      <w:proofErr w:type="spellStart"/>
      <w:r w:rsidRPr="005F5B74">
        <w:rPr>
          <w:color w:val="000000"/>
          <w:sz w:val="20"/>
          <w:szCs w:val="20"/>
        </w:rPr>
        <w:t>Blockchain</w:t>
      </w:r>
      <w:proofErr w:type="spellEnd"/>
      <w:r w:rsidRPr="005F5B74">
        <w:rPr>
          <w:color w:val="000000"/>
          <w:sz w:val="20"/>
          <w:szCs w:val="20"/>
        </w:rPr>
        <w:t xml:space="preserve">, internet de las cosas, big data analytics, robótica colaborativa, realidad virtual, realidad aumentada, prototipos de simulación, medicina traslacional, bioinformática traslacional, patología digital y biología sintética van ocurriendo vertiginosamente. El acceso masivo a herramientas de inteligencia artificial desde fines del 2022 parece predecir una revolución científica con abrumadora abundancia de información. </w:t>
      </w:r>
    </w:p>
    <w:p w:rsidR="008020AC" w:rsidRPr="00FA089F" w:rsidRDefault="005F5B74" w:rsidP="00FA089F">
      <w:pPr>
        <w:ind w:left="709" w:firstLine="707"/>
        <w:jc w:val="both"/>
        <w:rPr>
          <w:color w:val="000000"/>
          <w:sz w:val="20"/>
          <w:szCs w:val="20"/>
        </w:rPr>
      </w:pPr>
      <w:r w:rsidRPr="005F5B74">
        <w:rPr>
          <w:color w:val="000000"/>
          <w:sz w:val="20"/>
          <w:szCs w:val="20"/>
        </w:rPr>
        <w:t>Yuval Noah Harari reflexiona: “Cuando se efectúe un descubrimiento trascendental, no se podrá́ limitar su uso a la curación y prohibir completamente su aplicación a la mejora. Tenemos cierto margen de elección respecto al uso de las nuevas tecnologías”</w:t>
      </w:r>
      <w:r w:rsidRPr="00FA089F">
        <w:rPr>
          <w:color w:val="000000"/>
          <w:sz w:val="20"/>
          <w:szCs w:val="20"/>
          <w:vertAlign w:val="superscript"/>
        </w:rPr>
        <w:t>3</w:t>
      </w:r>
      <w:r w:rsidRPr="005F5B74">
        <w:rPr>
          <w:color w:val="000000"/>
          <w:sz w:val="20"/>
          <w:szCs w:val="20"/>
        </w:rPr>
        <w:t xml:space="preserve">. Las sociedades </w:t>
      </w:r>
      <w:proofErr w:type="spellStart"/>
      <w:r w:rsidRPr="005F5B74">
        <w:rPr>
          <w:color w:val="000000"/>
          <w:sz w:val="20"/>
          <w:szCs w:val="20"/>
        </w:rPr>
        <w:t>médicas</w:t>
      </w:r>
      <w:proofErr w:type="spellEnd"/>
      <w:r w:rsidRPr="005F5B74">
        <w:rPr>
          <w:color w:val="000000"/>
          <w:sz w:val="20"/>
          <w:szCs w:val="20"/>
        </w:rPr>
        <w:t xml:space="preserve">, científicas, las universidades, los investigadores de empresas públicas y privadas, los reguladores y los grupos de pacientes, tenemos la oportunidad de adelantarnos a nuevas tragedias </w:t>
      </w:r>
      <w:proofErr w:type="spellStart"/>
      <w:r w:rsidRPr="005F5B74">
        <w:rPr>
          <w:color w:val="000000"/>
          <w:sz w:val="20"/>
          <w:szCs w:val="20"/>
        </w:rPr>
        <w:t>éticas</w:t>
      </w:r>
      <w:proofErr w:type="spellEnd"/>
      <w:r w:rsidRPr="005F5B74">
        <w:rPr>
          <w:color w:val="000000"/>
          <w:sz w:val="20"/>
          <w:szCs w:val="20"/>
        </w:rPr>
        <w:t xml:space="preserve"> que </w:t>
      </w:r>
      <w:r w:rsidR="00FA089F" w:rsidRPr="005F5B74">
        <w:rPr>
          <w:color w:val="000000"/>
          <w:sz w:val="20"/>
          <w:szCs w:val="20"/>
        </w:rPr>
        <w:t>podrían</w:t>
      </w:r>
      <w:r w:rsidRPr="005F5B74">
        <w:rPr>
          <w:color w:val="000000"/>
          <w:sz w:val="20"/>
          <w:szCs w:val="20"/>
        </w:rPr>
        <w:t xml:space="preserve"> ocurrir con estas </w:t>
      </w:r>
      <w:r w:rsidR="00FA089F" w:rsidRPr="005F5B74">
        <w:rPr>
          <w:color w:val="000000"/>
          <w:sz w:val="20"/>
          <w:szCs w:val="20"/>
        </w:rPr>
        <w:t>tecnologías</w:t>
      </w:r>
      <w:r w:rsidRPr="005F5B74">
        <w:rPr>
          <w:color w:val="000000"/>
          <w:sz w:val="20"/>
          <w:szCs w:val="20"/>
        </w:rPr>
        <w:t xml:space="preserve"> innovadoras. Habrá que pensar nuevas normas internacionales </w:t>
      </w:r>
      <w:r w:rsidR="00FA089F" w:rsidRPr="005F5B74">
        <w:rPr>
          <w:color w:val="000000"/>
          <w:sz w:val="20"/>
          <w:szCs w:val="20"/>
        </w:rPr>
        <w:t>específicas</w:t>
      </w:r>
      <w:r w:rsidRPr="005F5B74">
        <w:rPr>
          <w:color w:val="000000"/>
          <w:sz w:val="20"/>
          <w:szCs w:val="20"/>
        </w:rPr>
        <w:t xml:space="preserve"> para esta era del conocimiento que </w:t>
      </w:r>
      <w:r w:rsidR="00FA089F" w:rsidRPr="005F5B74">
        <w:rPr>
          <w:color w:val="000000"/>
          <w:sz w:val="20"/>
          <w:szCs w:val="20"/>
        </w:rPr>
        <w:t>recién</w:t>
      </w:r>
      <w:r w:rsidRPr="005F5B74">
        <w:rPr>
          <w:color w:val="000000"/>
          <w:sz w:val="20"/>
          <w:szCs w:val="20"/>
        </w:rPr>
        <w:t xml:space="preserve"> empieza. Normas surgidas de un razonamiento colaborativo global con foco en seguir respetando los derechos de las personas</w:t>
      </w:r>
      <w:r w:rsidR="006009D8">
        <w:rPr>
          <w:color w:val="000000"/>
          <w:sz w:val="20"/>
          <w:szCs w:val="20"/>
        </w:rPr>
        <w:t xml:space="preserve">, </w:t>
      </w:r>
      <w:r w:rsidR="006009D8" w:rsidRPr="00505293">
        <w:rPr>
          <w:color w:val="000000"/>
          <w:sz w:val="20"/>
          <w:szCs w:val="20"/>
        </w:rPr>
        <w:t>los animales</w:t>
      </w:r>
      <w:r w:rsidR="006009D8">
        <w:rPr>
          <w:color w:val="000000"/>
          <w:sz w:val="20"/>
          <w:szCs w:val="20"/>
        </w:rPr>
        <w:t xml:space="preserve"> y</w:t>
      </w:r>
      <w:r w:rsidRPr="005F5B74">
        <w:rPr>
          <w:color w:val="000000"/>
          <w:sz w:val="20"/>
          <w:szCs w:val="20"/>
        </w:rPr>
        <w:t xml:space="preserve"> el medio ambiente</w:t>
      </w:r>
      <w:r w:rsidR="006009D8">
        <w:rPr>
          <w:color w:val="000000"/>
          <w:sz w:val="20"/>
          <w:szCs w:val="20"/>
        </w:rPr>
        <w:t>,</w:t>
      </w:r>
      <w:r w:rsidRPr="005F5B74">
        <w:rPr>
          <w:color w:val="000000"/>
          <w:sz w:val="20"/>
          <w:szCs w:val="20"/>
        </w:rPr>
        <w:t xml:space="preserve"> sin dejar de considerar el impacto en las futuras generaciones.</w:t>
      </w:r>
    </w:p>
    <w:p w:rsidR="00637B07" w:rsidRPr="008020AC" w:rsidRDefault="00637B07" w:rsidP="008020AC">
      <w:pPr>
        <w:ind w:left="709" w:firstLine="709"/>
        <w:jc w:val="both"/>
        <w:rPr>
          <w:sz w:val="20"/>
          <w:szCs w:val="20"/>
        </w:rPr>
      </w:pPr>
    </w:p>
    <w:p w:rsidR="00637B07" w:rsidRDefault="00716E36">
      <w:pPr>
        <w:rPr>
          <w:sz w:val="18"/>
          <w:szCs w:val="18"/>
        </w:rPr>
      </w:pPr>
      <w:r>
        <w:rPr>
          <w:sz w:val="18"/>
          <w:szCs w:val="18"/>
        </w:rPr>
        <w:t>Referencia</w:t>
      </w:r>
    </w:p>
    <w:p w:rsidR="00637B07" w:rsidRDefault="00637B07">
      <w:pPr>
        <w:ind w:left="708" w:firstLine="708"/>
        <w:jc w:val="both"/>
        <w:rPr>
          <w:color w:val="000000"/>
          <w:sz w:val="18"/>
          <w:szCs w:val="18"/>
        </w:rPr>
      </w:pPr>
    </w:p>
    <w:p w:rsidR="005F5B74" w:rsidRPr="005F5B74" w:rsidRDefault="005F5B74" w:rsidP="005F5B74">
      <w:pPr>
        <w:pStyle w:val="Prrafodelista"/>
        <w:numPr>
          <w:ilvl w:val="0"/>
          <w:numId w:val="2"/>
        </w:numPr>
        <w:rPr>
          <w:sz w:val="18"/>
          <w:szCs w:val="18"/>
          <w:lang w:val="en-US"/>
        </w:rPr>
      </w:pPr>
      <w:r w:rsidRPr="005F5B74">
        <w:rPr>
          <w:sz w:val="18"/>
          <w:szCs w:val="18"/>
        </w:rPr>
        <w:t xml:space="preserve">Conferencia Internacional de Harmonización. Guía E6. Lineamiento de la Buena Práctica Clínica. </w:t>
      </w:r>
      <w:r w:rsidRPr="005F5B74">
        <w:rPr>
          <w:sz w:val="18"/>
          <w:szCs w:val="18"/>
          <w:lang w:val="en-US"/>
        </w:rPr>
        <w:t>2016. [</w:t>
      </w:r>
      <w:proofErr w:type="spellStart"/>
      <w:r w:rsidRPr="005F5B74">
        <w:rPr>
          <w:sz w:val="18"/>
          <w:szCs w:val="18"/>
          <w:lang w:val="en-US"/>
        </w:rPr>
        <w:t>citado</w:t>
      </w:r>
      <w:proofErr w:type="spellEnd"/>
      <w:r w:rsidRPr="005F5B74">
        <w:rPr>
          <w:sz w:val="18"/>
          <w:szCs w:val="18"/>
          <w:lang w:val="en-US"/>
        </w:rPr>
        <w:t xml:space="preserve"> 11 </w:t>
      </w:r>
      <w:proofErr w:type="spellStart"/>
      <w:r w:rsidRPr="005F5B74">
        <w:rPr>
          <w:sz w:val="18"/>
          <w:szCs w:val="18"/>
          <w:lang w:val="en-US"/>
        </w:rPr>
        <w:t>nov</w:t>
      </w:r>
      <w:proofErr w:type="spellEnd"/>
      <w:r w:rsidRPr="005F5B74">
        <w:rPr>
          <w:sz w:val="18"/>
          <w:szCs w:val="18"/>
          <w:lang w:val="en-US"/>
        </w:rPr>
        <w:t xml:space="preserve"> 202</w:t>
      </w:r>
      <w:r w:rsidR="006009D8">
        <w:rPr>
          <w:sz w:val="18"/>
          <w:szCs w:val="18"/>
          <w:lang w:val="en-US"/>
        </w:rPr>
        <w:t>3</w:t>
      </w:r>
      <w:r w:rsidRPr="005F5B74">
        <w:rPr>
          <w:sz w:val="18"/>
          <w:szCs w:val="18"/>
          <w:lang w:val="en-US"/>
        </w:rPr>
        <w:t xml:space="preserve">]. Disponible </w:t>
      </w:r>
      <w:proofErr w:type="spellStart"/>
      <w:r w:rsidR="00FA089F" w:rsidRPr="005F5B74">
        <w:rPr>
          <w:sz w:val="18"/>
          <w:szCs w:val="18"/>
          <w:lang w:val="en-US"/>
        </w:rPr>
        <w:t>en</w:t>
      </w:r>
      <w:proofErr w:type="spellEnd"/>
      <w:r w:rsidR="00FA089F" w:rsidRPr="005F5B74">
        <w:rPr>
          <w:sz w:val="18"/>
          <w:szCs w:val="18"/>
          <w:lang w:val="en-US"/>
        </w:rPr>
        <w:t xml:space="preserve"> http://www.ich.org</w:t>
      </w:r>
    </w:p>
    <w:p w:rsidR="005F5B74" w:rsidRPr="005F5B74" w:rsidRDefault="005F5B74" w:rsidP="005F5B74">
      <w:pPr>
        <w:pStyle w:val="Prrafodelista"/>
        <w:numPr>
          <w:ilvl w:val="0"/>
          <w:numId w:val="2"/>
        </w:numPr>
        <w:rPr>
          <w:sz w:val="18"/>
          <w:szCs w:val="18"/>
          <w:lang w:val="en-US"/>
        </w:rPr>
      </w:pPr>
      <w:r w:rsidRPr="005F5B74">
        <w:rPr>
          <w:sz w:val="18"/>
          <w:szCs w:val="18"/>
          <w:lang w:val="en-US"/>
        </w:rPr>
        <w:t xml:space="preserve">Subbiah, V. The next generation of evidence-based medicine. Nat Med 29, 49–58 (2023). https://doi.org/10.1038/s41591-022-02160-z3. </w:t>
      </w:r>
    </w:p>
    <w:p w:rsidR="00FA089F" w:rsidRPr="00FA089F" w:rsidRDefault="005F5B74" w:rsidP="002C0F8F">
      <w:pPr>
        <w:pStyle w:val="Prrafodelista"/>
        <w:numPr>
          <w:ilvl w:val="0"/>
          <w:numId w:val="2"/>
        </w:numPr>
        <w:rPr>
          <w:sz w:val="18"/>
          <w:szCs w:val="18"/>
        </w:rPr>
      </w:pPr>
      <w:r w:rsidRPr="00FA089F">
        <w:rPr>
          <w:sz w:val="18"/>
          <w:szCs w:val="18"/>
        </w:rPr>
        <w:t xml:space="preserve">Yuval N Harari. Homo Deus. Breve Historia del mañana. 2016. Argentina, Buenos Aires. </w:t>
      </w:r>
      <w:proofErr w:type="spellStart"/>
      <w:r w:rsidRPr="00FA089F">
        <w:rPr>
          <w:sz w:val="18"/>
          <w:szCs w:val="18"/>
        </w:rPr>
        <w:t>Penguin</w:t>
      </w:r>
      <w:proofErr w:type="spellEnd"/>
      <w:r w:rsidRPr="00FA089F">
        <w:rPr>
          <w:sz w:val="18"/>
          <w:szCs w:val="18"/>
        </w:rPr>
        <w:t xml:space="preserve"> </w:t>
      </w:r>
      <w:proofErr w:type="spellStart"/>
      <w:r w:rsidRPr="00FA089F">
        <w:rPr>
          <w:sz w:val="18"/>
          <w:szCs w:val="18"/>
        </w:rPr>
        <w:t>Random</w:t>
      </w:r>
      <w:proofErr w:type="spellEnd"/>
      <w:r w:rsidRPr="00FA089F">
        <w:rPr>
          <w:sz w:val="18"/>
          <w:szCs w:val="18"/>
        </w:rPr>
        <w:t xml:space="preserve"> House Grupo Editorial S.A.U. Debate.</w:t>
      </w:r>
    </w:p>
    <w:p w:rsidR="00FA089F" w:rsidRPr="005F5B74" w:rsidRDefault="00FA089F" w:rsidP="00FA089F">
      <w:pPr>
        <w:pStyle w:val="Prrafodelista"/>
        <w:ind w:left="360"/>
        <w:rPr>
          <w:sz w:val="18"/>
          <w:szCs w:val="18"/>
        </w:rPr>
      </w:pPr>
      <w:r>
        <w:rPr>
          <w:rFonts w:ascii="Arial" w:eastAsia="Arial" w:hAnsi="Arial" w:cs="Arial"/>
          <w:noProof/>
          <w:color w:val="000000"/>
          <w:sz w:val="22"/>
          <w:szCs w:val="22"/>
          <w:u w:val="single"/>
          <w:lang w:val="en-US" w:eastAsia="en-US"/>
        </w:rPr>
        <w:drawing>
          <wp:inline distT="0" distB="0" distL="0" distR="0" wp14:anchorId="41A6559E" wp14:editId="252F75A7">
            <wp:extent cx="962025" cy="466725"/>
            <wp:effectExtent l="0" t="0" r="9525" b="9525"/>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971167" cy="471160"/>
                    </a:xfrm>
                    <a:prstGeom prst="rect">
                      <a:avLst/>
                    </a:prstGeom>
                    <a:ln/>
                  </pic:spPr>
                </pic:pic>
              </a:graphicData>
            </a:graphic>
          </wp:inline>
        </w:drawing>
      </w:r>
    </w:p>
    <w:p w:rsidR="00637B07" w:rsidRDefault="00637B07">
      <w:pPr>
        <w:ind w:left="708"/>
        <w:jc w:val="both"/>
        <w:rPr>
          <w:sz w:val="20"/>
          <w:szCs w:val="20"/>
        </w:rPr>
      </w:pPr>
    </w:p>
    <w:p w:rsidR="00637B07" w:rsidRDefault="00FA089F" w:rsidP="008020AC">
      <w:pPr>
        <w:jc w:val="both"/>
        <w:rPr>
          <w:rFonts w:ascii="Arial" w:eastAsia="Arial" w:hAnsi="Arial" w:cs="Arial"/>
          <w:sz w:val="20"/>
          <w:szCs w:val="20"/>
        </w:rPr>
      </w:pPr>
      <w:r>
        <w:rPr>
          <w:noProof/>
          <w:lang w:val="es-AR" w:eastAsia="es-AR"/>
        </w:rPr>
        <mc:AlternateContent>
          <mc:Choice Requires="wps">
            <w:drawing>
              <wp:anchor distT="0" distB="0" distL="114300" distR="114300" simplePos="0" relativeHeight="251661312" behindDoc="0" locked="0" layoutInCell="1" allowOverlap="1" wp14:anchorId="104B5AB2" wp14:editId="35E31B6F">
                <wp:simplePos x="0" y="0"/>
                <wp:positionH relativeFrom="rightMargin">
                  <wp:posOffset>114935</wp:posOffset>
                </wp:positionH>
                <wp:positionV relativeFrom="paragraph">
                  <wp:posOffset>2829560</wp:posOffset>
                </wp:positionV>
                <wp:extent cx="434340" cy="388620"/>
                <wp:effectExtent l="0" t="0" r="22860" b="11430"/>
                <wp:wrapNone/>
                <wp:docPr id="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FA089F" w:rsidRPr="0030332A" w:rsidRDefault="008D55F5" w:rsidP="00FA089F">
                            <w:pPr>
                              <w:jc w:val="center"/>
                              <w:textDirection w:val="btLr"/>
                              <w:rPr>
                                <w:b/>
                                <w:color w:val="FFFFFF" w:themeColor="background1"/>
                                <w:lang w:val="es-MX"/>
                              </w:rPr>
                            </w:pPr>
                            <w:r>
                              <w:rPr>
                                <w:b/>
                                <w:color w:val="FFFFFF" w:themeColor="background1"/>
                                <w:lang w:val="es-MX"/>
                              </w:rPr>
                              <w:t>58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4B5AB2" id="_x0000_s1027" style="position:absolute;left:0;text-align:left;margin-left:9.05pt;margin-top:222.8pt;width:34.2pt;height:30.6pt;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" fillcolor="#509d2f">
                <v:stroke startarrowwidth="narrow" startarrowlength="short" endarrowwidth="narrow" endarrowlength="short" joinstyle="round"/>
                <v:textbox inset="2.53958mm,1.2694mm,2.53958mm,1.2694mm">
                  <w:txbxContent>
                    <w:p w:rsidR="00FA089F" w:rsidRPr="0030332A" w:rsidRDefault="008D55F5" w:rsidP="00FA089F">
                      <w:pPr>
                        <w:jc w:val="center"/>
                        <w:textDirection w:val="btLr"/>
                        <w:rPr>
                          <w:b/>
                          <w:color w:val="FFFFFF" w:themeColor="background1"/>
                          <w:lang w:val="es-MX"/>
                        </w:rPr>
                      </w:pPr>
                      <w:r>
                        <w:rPr>
                          <w:b/>
                          <w:color w:val="FFFFFF" w:themeColor="background1"/>
                          <w:lang w:val="es-MX"/>
                        </w:rPr>
                        <w:t>58</w:t>
                      </w:r>
                    </w:p>
                  </w:txbxContent>
                </v:textbox>
                <w10:wrap anchorx="margin"/>
              </v:rect>
            </w:pict>
          </mc:Fallback>
        </mc:AlternateContent>
      </w:r>
      <w:r w:rsidR="00716E36">
        <w:rPr>
          <w:rFonts w:ascii="Arial" w:eastAsia="Arial" w:hAnsi="Arial" w:cs="Arial"/>
          <w:color w:val="FFFFFF"/>
          <w:sz w:val="22"/>
          <w:szCs w:val="22"/>
          <w:u w:val="single"/>
        </w:rPr>
        <w:t xml:space="preserve">           </w:t>
      </w:r>
    </w:p>
    <w:sectPr w:rsidR="00637B07" w:rsidSect="008020A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34D" w:rsidRDefault="00E3534D">
      <w:r>
        <w:separator/>
      </w:r>
    </w:p>
  </w:endnote>
  <w:endnote w:type="continuationSeparator" w:id="0">
    <w:p w:rsidR="00E3534D" w:rsidRDefault="00E3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07" w:rsidRDefault="00637B0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07" w:rsidRDefault="00637B07">
    <w:pPr>
      <w:widowControl w:val="0"/>
      <w:pBdr>
        <w:top w:val="nil"/>
        <w:left w:val="nil"/>
        <w:bottom w:val="nil"/>
        <w:right w:val="nil"/>
        <w:between w:val="nil"/>
      </w:pBdr>
      <w:spacing w:line="276" w:lineRule="auto"/>
      <w:rPr>
        <w:color w:val="000000"/>
      </w:rPr>
    </w:pPr>
  </w:p>
  <w:tbl>
    <w:tblPr>
      <w:tblStyle w:val="aa"/>
      <w:tblW w:w="7654" w:type="dxa"/>
      <w:tblInd w:w="0" w:type="dxa"/>
      <w:tblLayout w:type="fixed"/>
      <w:tblLook w:val="0400" w:firstRow="0" w:lastRow="0" w:firstColumn="0" w:lastColumn="0" w:noHBand="0" w:noVBand="1"/>
    </w:tblPr>
    <w:tblGrid>
      <w:gridCol w:w="7654"/>
    </w:tblGrid>
    <w:tr w:rsidR="00637B07">
      <w:tc>
        <w:tcPr>
          <w:tcW w:w="7654" w:type="dxa"/>
          <w:tcBorders>
            <w:top w:val="single" w:sz="4" w:space="0" w:color="000000"/>
          </w:tcBorders>
        </w:tcPr>
        <w:p w:rsidR="00637B07" w:rsidRDefault="00716E36">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t>
          </w:r>
          <w:r>
            <w:rPr>
              <w:color w:val="000000"/>
            </w:rPr>
            <w:t xml:space="preserve"> </w:t>
          </w:r>
          <w:r w:rsidR="008020AC">
            <w:rPr>
              <w:rFonts w:ascii="Arial" w:eastAsia="Arial" w:hAnsi="Arial" w:cs="Arial"/>
              <w:color w:val="000000"/>
              <w:sz w:val="16"/>
              <w:szCs w:val="16"/>
            </w:rPr>
            <w:t xml:space="preserve">CONFERENCIA Rev. </w:t>
          </w:r>
          <w:proofErr w:type="spellStart"/>
          <w:r w:rsidR="008020AC">
            <w:rPr>
              <w:rFonts w:ascii="Arial" w:eastAsia="Arial" w:hAnsi="Arial" w:cs="Arial"/>
              <w:color w:val="000000"/>
              <w:sz w:val="16"/>
              <w:szCs w:val="16"/>
            </w:rPr>
            <w:t>Methodo</w:t>
          </w:r>
          <w:proofErr w:type="spellEnd"/>
          <w:r w:rsidR="008020AC">
            <w:rPr>
              <w:rFonts w:ascii="Arial" w:eastAsia="Arial" w:hAnsi="Arial" w:cs="Arial"/>
              <w:color w:val="000000"/>
              <w:sz w:val="16"/>
              <w:szCs w:val="16"/>
            </w:rPr>
            <w:t xml:space="preserve"> 202</w:t>
          </w:r>
          <w:r w:rsidR="00FA089F">
            <w:rPr>
              <w:rFonts w:ascii="Arial" w:eastAsia="Arial" w:hAnsi="Arial" w:cs="Arial"/>
              <w:color w:val="000000"/>
              <w:sz w:val="16"/>
              <w:szCs w:val="16"/>
            </w:rPr>
            <w:t>4</w:t>
          </w:r>
          <w:r w:rsidR="008020AC">
            <w:rPr>
              <w:rFonts w:ascii="Arial" w:eastAsia="Arial" w:hAnsi="Arial" w:cs="Arial"/>
              <w:color w:val="000000"/>
              <w:sz w:val="16"/>
              <w:szCs w:val="16"/>
            </w:rPr>
            <w:t>;</w:t>
          </w:r>
          <w:r w:rsidR="00FA089F">
            <w:rPr>
              <w:rFonts w:ascii="Arial" w:eastAsia="Arial" w:hAnsi="Arial" w:cs="Arial"/>
              <w:color w:val="000000"/>
              <w:sz w:val="16"/>
              <w:szCs w:val="16"/>
            </w:rPr>
            <w:t>9</w:t>
          </w:r>
          <w:r w:rsidR="008020AC">
            <w:rPr>
              <w:rFonts w:ascii="Arial" w:eastAsia="Arial" w:hAnsi="Arial" w:cs="Arial"/>
              <w:color w:val="000000"/>
              <w:sz w:val="16"/>
              <w:szCs w:val="16"/>
            </w:rPr>
            <w:t>(</w:t>
          </w:r>
          <w:r w:rsidR="00FA089F">
            <w:rPr>
              <w:rFonts w:ascii="Arial" w:eastAsia="Arial" w:hAnsi="Arial" w:cs="Arial"/>
              <w:color w:val="000000"/>
              <w:sz w:val="16"/>
              <w:szCs w:val="16"/>
            </w:rPr>
            <w:t>1</w:t>
          </w:r>
          <w:r w:rsidR="008020AC">
            <w:rPr>
              <w:rFonts w:ascii="Arial" w:eastAsia="Arial" w:hAnsi="Arial" w:cs="Arial"/>
              <w:color w:val="000000"/>
              <w:sz w:val="16"/>
              <w:szCs w:val="16"/>
            </w:rPr>
            <w:t>):</w:t>
          </w:r>
          <w:r w:rsidR="008D55F5">
            <w:rPr>
              <w:rFonts w:ascii="Arial" w:eastAsia="Arial" w:hAnsi="Arial" w:cs="Arial"/>
              <w:color w:val="000000"/>
              <w:sz w:val="16"/>
              <w:szCs w:val="16"/>
            </w:rPr>
            <w:t>57-58.</w:t>
          </w:r>
        </w:p>
      </w:tc>
    </w:tr>
  </w:tbl>
  <w:p w:rsidR="00637B07" w:rsidRDefault="00637B0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07" w:rsidRDefault="00637B07">
    <w:pPr>
      <w:widowControl w:val="0"/>
      <w:pBdr>
        <w:top w:val="nil"/>
        <w:left w:val="nil"/>
        <w:bottom w:val="nil"/>
        <w:right w:val="nil"/>
        <w:between w:val="nil"/>
      </w:pBdr>
      <w:spacing w:line="276" w:lineRule="auto"/>
      <w:rPr>
        <w:color w:val="000000"/>
      </w:rPr>
    </w:pPr>
  </w:p>
  <w:tbl>
    <w:tblPr>
      <w:tblStyle w:val="a9"/>
      <w:tblW w:w="7654" w:type="dxa"/>
      <w:tblInd w:w="0" w:type="dxa"/>
      <w:tblLayout w:type="fixed"/>
      <w:tblLook w:val="0400" w:firstRow="0" w:lastRow="0" w:firstColumn="0" w:lastColumn="0" w:noHBand="0" w:noVBand="1"/>
    </w:tblPr>
    <w:tblGrid>
      <w:gridCol w:w="7654"/>
    </w:tblGrid>
    <w:tr w:rsidR="00637B07">
      <w:tc>
        <w:tcPr>
          <w:tcW w:w="7654" w:type="dxa"/>
          <w:tcBorders>
            <w:top w:val="single" w:sz="4" w:space="0" w:color="000000"/>
          </w:tcBorders>
        </w:tcPr>
        <w:p w:rsidR="00637B07" w:rsidRDefault="00716E36">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t>
          </w:r>
          <w:r w:rsidR="00E41EAB">
            <w:rPr>
              <w:rFonts w:ascii="Arial" w:eastAsia="Arial" w:hAnsi="Arial" w:cs="Arial"/>
              <w:color w:val="000000"/>
              <w:sz w:val="16"/>
              <w:szCs w:val="16"/>
            </w:rPr>
            <w:t xml:space="preserve">CONFERENCIA Rev. </w:t>
          </w:r>
          <w:proofErr w:type="spellStart"/>
          <w:r w:rsidR="00E41EAB">
            <w:rPr>
              <w:rFonts w:ascii="Arial" w:eastAsia="Arial" w:hAnsi="Arial" w:cs="Arial"/>
              <w:color w:val="000000"/>
              <w:sz w:val="16"/>
              <w:szCs w:val="16"/>
            </w:rPr>
            <w:t>Methodo</w:t>
          </w:r>
          <w:proofErr w:type="spellEnd"/>
          <w:r w:rsidR="00E41EAB">
            <w:rPr>
              <w:rFonts w:ascii="Arial" w:eastAsia="Arial" w:hAnsi="Arial" w:cs="Arial"/>
              <w:color w:val="000000"/>
              <w:sz w:val="16"/>
              <w:szCs w:val="16"/>
            </w:rPr>
            <w:t xml:space="preserve"> 202</w:t>
          </w:r>
          <w:r w:rsidR="00FA089F">
            <w:rPr>
              <w:rFonts w:ascii="Arial" w:eastAsia="Arial" w:hAnsi="Arial" w:cs="Arial"/>
              <w:color w:val="000000"/>
              <w:sz w:val="16"/>
              <w:szCs w:val="16"/>
            </w:rPr>
            <w:t>4</w:t>
          </w:r>
          <w:r w:rsidR="00E41EAB">
            <w:rPr>
              <w:rFonts w:ascii="Arial" w:eastAsia="Arial" w:hAnsi="Arial" w:cs="Arial"/>
              <w:color w:val="000000"/>
              <w:sz w:val="16"/>
              <w:szCs w:val="16"/>
            </w:rPr>
            <w:t>;</w:t>
          </w:r>
          <w:r w:rsidR="00FA089F">
            <w:rPr>
              <w:rFonts w:ascii="Arial" w:eastAsia="Arial" w:hAnsi="Arial" w:cs="Arial"/>
              <w:color w:val="000000"/>
              <w:sz w:val="16"/>
              <w:szCs w:val="16"/>
            </w:rPr>
            <w:t>9</w:t>
          </w:r>
          <w:r w:rsidR="00E41EAB">
            <w:rPr>
              <w:rFonts w:ascii="Arial" w:eastAsia="Arial" w:hAnsi="Arial" w:cs="Arial"/>
              <w:color w:val="000000"/>
              <w:sz w:val="16"/>
              <w:szCs w:val="16"/>
            </w:rPr>
            <w:t>(</w:t>
          </w:r>
          <w:r w:rsidR="00FA089F">
            <w:rPr>
              <w:rFonts w:ascii="Arial" w:eastAsia="Arial" w:hAnsi="Arial" w:cs="Arial"/>
              <w:color w:val="000000"/>
              <w:sz w:val="16"/>
              <w:szCs w:val="16"/>
            </w:rPr>
            <w:t>1</w:t>
          </w:r>
          <w:r w:rsidR="00E41EAB">
            <w:rPr>
              <w:rFonts w:ascii="Arial" w:eastAsia="Arial" w:hAnsi="Arial" w:cs="Arial"/>
              <w:color w:val="000000"/>
              <w:sz w:val="16"/>
              <w:szCs w:val="16"/>
            </w:rPr>
            <w:t>)</w:t>
          </w:r>
          <w:r w:rsidR="008D55F5">
            <w:rPr>
              <w:rFonts w:ascii="Arial" w:eastAsia="Arial" w:hAnsi="Arial" w:cs="Arial"/>
              <w:color w:val="000000"/>
              <w:sz w:val="16"/>
              <w:szCs w:val="16"/>
            </w:rPr>
            <w:t>:57-58.</w:t>
          </w:r>
        </w:p>
      </w:tc>
    </w:tr>
  </w:tbl>
  <w:p w:rsidR="00637B07" w:rsidRDefault="00637B0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34D" w:rsidRDefault="00E3534D">
      <w:r>
        <w:separator/>
      </w:r>
    </w:p>
  </w:footnote>
  <w:footnote w:type="continuationSeparator" w:id="0">
    <w:p w:rsidR="00E3534D" w:rsidRDefault="00E3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07" w:rsidRDefault="00637B0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07" w:rsidRDefault="005F5B74" w:rsidP="008600FF">
    <w:pPr>
      <w:pBdr>
        <w:top w:val="nil"/>
        <w:left w:val="nil"/>
        <w:bottom w:val="nil"/>
        <w:right w:val="nil"/>
        <w:between w:val="nil"/>
      </w:pBdr>
      <w:tabs>
        <w:tab w:val="center" w:pos="4419"/>
        <w:tab w:val="right" w:pos="8838"/>
      </w:tabs>
      <w:jc w:val="both"/>
      <w:rPr>
        <w:rFonts w:ascii="Arial" w:eastAsia="Arial" w:hAnsi="Arial" w:cs="Arial"/>
        <w:i/>
        <w:color w:val="000000"/>
        <w:sz w:val="16"/>
        <w:szCs w:val="16"/>
      </w:rPr>
    </w:pPr>
    <w:proofErr w:type="spellStart"/>
    <w:r>
      <w:rPr>
        <w:rFonts w:ascii="Arial" w:eastAsia="Arial" w:hAnsi="Arial" w:cs="Arial"/>
        <w:color w:val="000000"/>
        <w:sz w:val="16"/>
        <w:szCs w:val="16"/>
      </w:rPr>
      <w:t>Strusberg</w:t>
    </w:r>
    <w:proofErr w:type="spellEnd"/>
    <w:r>
      <w:rPr>
        <w:rFonts w:ascii="Arial" w:eastAsia="Arial" w:hAnsi="Arial" w:cs="Arial"/>
        <w:color w:val="000000"/>
        <w:sz w:val="16"/>
        <w:szCs w:val="16"/>
      </w:rPr>
      <w:t xml:space="preserve"> I</w:t>
    </w:r>
    <w:r w:rsidR="00716E36">
      <w:rPr>
        <w:rFonts w:ascii="Arial" w:eastAsia="Arial" w:hAnsi="Arial" w:cs="Arial"/>
        <w:i/>
        <w:color w:val="000000"/>
        <w:sz w:val="16"/>
        <w:szCs w:val="16"/>
      </w:rPr>
      <w:t xml:space="preserve">. </w:t>
    </w:r>
    <w:r>
      <w:rPr>
        <w:rFonts w:ascii="Arial" w:eastAsia="Arial" w:hAnsi="Arial" w:cs="Arial"/>
        <w:i/>
        <w:color w:val="000000"/>
        <w:sz w:val="16"/>
        <w:szCs w:val="16"/>
      </w:rPr>
      <w:t>Desafíos éticos de la globalización para la investigación clínica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07" w:rsidRDefault="00716E36">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492FEDBD" wp14:editId="4EC04786">
          <wp:extent cx="4412213" cy="1276340"/>
          <wp:effectExtent l="0" t="0" r="0" b="0"/>
          <wp:docPr id="51"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p w:rsidR="00637B07" w:rsidRDefault="00637B0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4BE"/>
    <w:multiLevelType w:val="hybridMultilevel"/>
    <w:tmpl w:val="B49C5FB6"/>
    <w:lvl w:ilvl="0" w:tplc="E14A55BE">
      <w:start w:val="1"/>
      <w:numFmt w:val="decimal"/>
      <w:lvlText w:val="%1."/>
      <w:lvlJc w:val="left"/>
      <w:pPr>
        <w:ind w:left="5075" w:hanging="360"/>
      </w:pPr>
      <w:rPr>
        <w:rFonts w:hint="default"/>
      </w:rPr>
    </w:lvl>
    <w:lvl w:ilvl="1" w:tplc="2C0A0019" w:tentative="1">
      <w:start w:val="1"/>
      <w:numFmt w:val="lowerLetter"/>
      <w:lvlText w:val="%2."/>
      <w:lvlJc w:val="left"/>
      <w:pPr>
        <w:ind w:left="5795" w:hanging="360"/>
      </w:pPr>
    </w:lvl>
    <w:lvl w:ilvl="2" w:tplc="2C0A001B" w:tentative="1">
      <w:start w:val="1"/>
      <w:numFmt w:val="lowerRoman"/>
      <w:lvlText w:val="%3."/>
      <w:lvlJc w:val="right"/>
      <w:pPr>
        <w:ind w:left="6515" w:hanging="180"/>
      </w:pPr>
    </w:lvl>
    <w:lvl w:ilvl="3" w:tplc="2C0A000F" w:tentative="1">
      <w:start w:val="1"/>
      <w:numFmt w:val="decimal"/>
      <w:lvlText w:val="%4."/>
      <w:lvlJc w:val="left"/>
      <w:pPr>
        <w:ind w:left="7235" w:hanging="360"/>
      </w:pPr>
    </w:lvl>
    <w:lvl w:ilvl="4" w:tplc="2C0A0019" w:tentative="1">
      <w:start w:val="1"/>
      <w:numFmt w:val="lowerLetter"/>
      <w:lvlText w:val="%5."/>
      <w:lvlJc w:val="left"/>
      <w:pPr>
        <w:ind w:left="7955" w:hanging="360"/>
      </w:pPr>
    </w:lvl>
    <w:lvl w:ilvl="5" w:tplc="2C0A001B" w:tentative="1">
      <w:start w:val="1"/>
      <w:numFmt w:val="lowerRoman"/>
      <w:lvlText w:val="%6."/>
      <w:lvlJc w:val="right"/>
      <w:pPr>
        <w:ind w:left="8675" w:hanging="180"/>
      </w:pPr>
    </w:lvl>
    <w:lvl w:ilvl="6" w:tplc="2C0A000F" w:tentative="1">
      <w:start w:val="1"/>
      <w:numFmt w:val="decimal"/>
      <w:lvlText w:val="%7."/>
      <w:lvlJc w:val="left"/>
      <w:pPr>
        <w:ind w:left="9395" w:hanging="360"/>
      </w:pPr>
    </w:lvl>
    <w:lvl w:ilvl="7" w:tplc="2C0A0019" w:tentative="1">
      <w:start w:val="1"/>
      <w:numFmt w:val="lowerLetter"/>
      <w:lvlText w:val="%8."/>
      <w:lvlJc w:val="left"/>
      <w:pPr>
        <w:ind w:left="10115" w:hanging="360"/>
      </w:pPr>
    </w:lvl>
    <w:lvl w:ilvl="8" w:tplc="2C0A001B" w:tentative="1">
      <w:start w:val="1"/>
      <w:numFmt w:val="lowerRoman"/>
      <w:lvlText w:val="%9."/>
      <w:lvlJc w:val="right"/>
      <w:pPr>
        <w:ind w:left="10835" w:hanging="180"/>
      </w:pPr>
    </w:lvl>
  </w:abstractNum>
  <w:abstractNum w:abstractNumId="1" w15:restartNumberingAfterBreak="0">
    <w:nsid w:val="07EB6405"/>
    <w:multiLevelType w:val="hybridMultilevel"/>
    <w:tmpl w:val="9F34153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77A12FE8"/>
    <w:multiLevelType w:val="hybridMultilevel"/>
    <w:tmpl w:val="1AC8C1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07"/>
    <w:rsid w:val="000340FC"/>
    <w:rsid w:val="00122EE7"/>
    <w:rsid w:val="00132292"/>
    <w:rsid w:val="001421D4"/>
    <w:rsid w:val="001D03C3"/>
    <w:rsid w:val="001E6259"/>
    <w:rsid w:val="00235882"/>
    <w:rsid w:val="002E2BC1"/>
    <w:rsid w:val="003116E6"/>
    <w:rsid w:val="003260E3"/>
    <w:rsid w:val="0033341E"/>
    <w:rsid w:val="00333614"/>
    <w:rsid w:val="00412121"/>
    <w:rsid w:val="00493240"/>
    <w:rsid w:val="004F68B5"/>
    <w:rsid w:val="00505293"/>
    <w:rsid w:val="005106AD"/>
    <w:rsid w:val="005F5B74"/>
    <w:rsid w:val="006009D8"/>
    <w:rsid w:val="0062319F"/>
    <w:rsid w:val="00633B84"/>
    <w:rsid w:val="00637B07"/>
    <w:rsid w:val="00646D7F"/>
    <w:rsid w:val="00682387"/>
    <w:rsid w:val="00716E36"/>
    <w:rsid w:val="00751003"/>
    <w:rsid w:val="00777CDF"/>
    <w:rsid w:val="007A4A9F"/>
    <w:rsid w:val="008020AC"/>
    <w:rsid w:val="00825A30"/>
    <w:rsid w:val="00842823"/>
    <w:rsid w:val="008600FF"/>
    <w:rsid w:val="00870836"/>
    <w:rsid w:val="008C1409"/>
    <w:rsid w:val="008D55F5"/>
    <w:rsid w:val="00946DC2"/>
    <w:rsid w:val="009651FE"/>
    <w:rsid w:val="009B3A08"/>
    <w:rsid w:val="009C16BB"/>
    <w:rsid w:val="009E3029"/>
    <w:rsid w:val="00AC57FF"/>
    <w:rsid w:val="00B025AB"/>
    <w:rsid w:val="00C44FAF"/>
    <w:rsid w:val="00C5239B"/>
    <w:rsid w:val="00C66A39"/>
    <w:rsid w:val="00CF1EC6"/>
    <w:rsid w:val="00DC08D4"/>
    <w:rsid w:val="00E3534D"/>
    <w:rsid w:val="00E41EAB"/>
    <w:rsid w:val="00EB0F5C"/>
    <w:rsid w:val="00F24A26"/>
    <w:rsid w:val="00F63476"/>
    <w:rsid w:val="00FA089F"/>
    <w:rsid w:val="00FA51EA"/>
    <w:rsid w:val="00FE0C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8E2E"/>
  <w15:docId w15:val="{5EBEDBA6-2761-41D9-B399-15ABCA2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887"/>
    <w:rPr>
      <w:lang w:eastAsia="es-ES"/>
    </w:rPr>
  </w:style>
  <w:style w:type="paragraph" w:styleId="Ttulo1">
    <w:name w:val="heading 1"/>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D77054"/>
    <w:rPr>
      <w:rFonts w:ascii="Cambria" w:eastAsia="Times New Roman" w:hAnsi="Cambria" w:cs="Times New Roman"/>
      <w:b/>
      <w:bCs/>
      <w:kern w:val="32"/>
      <w:sz w:val="32"/>
      <w:szCs w:val="32"/>
      <w:lang w:val="es-ES" w:eastAsia="es-ES"/>
    </w:rPr>
  </w:style>
  <w:style w:type="character" w:styleId="nfasis">
    <w:name w:val="Emphasis"/>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paragraph" w:customStyle="1" w:styleId="Formatolibre">
    <w:name w:val="Formato libre"/>
    <w:rsid w:val="00ED1C03"/>
    <w:rPr>
      <w:rFonts w:ascii="Helvetica" w:eastAsia="ヒラギノ角ゴ Pro W3" w:hAnsi="Helvetica"/>
      <w:color w:val="000000"/>
      <w:lang w:val="es-ES_tradnl" w:eastAsia="es-ES"/>
    </w:rPr>
  </w:style>
  <w:style w:type="character" w:customStyle="1" w:styleId="Mencinsinresolver1">
    <w:name w:val="Mención sin resolver1"/>
    <w:basedOn w:val="Fuentedeprrafopredeter"/>
    <w:uiPriority w:val="99"/>
    <w:semiHidden/>
    <w:unhideWhenUsed/>
    <w:rsid w:val="008D2DC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top w:w="72" w:type="dxa"/>
        <w:left w:w="115" w:type="dxa"/>
        <w:bottom w:w="72" w:type="dxa"/>
        <w:right w:w="115" w:type="dxa"/>
      </w:tblCellMar>
    </w:tblPr>
  </w:style>
  <w:style w:type="table" w:customStyle="1" w:styleId="a2">
    <w:basedOn w:val="TableNormal1"/>
    <w:tblPr>
      <w:tblStyleRowBandSize w:val="1"/>
      <w:tblStyleColBandSize w:val="1"/>
      <w:tblCellMar>
        <w:top w:w="72" w:type="dxa"/>
        <w:left w:w="115" w:type="dxa"/>
        <w:bottom w:w="72" w:type="dxa"/>
        <w:right w:w="115" w:type="dxa"/>
      </w:tblCellMar>
    </w:tblPr>
  </w:style>
  <w:style w:type="table" w:customStyle="1" w:styleId="a3">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6">
    <w:basedOn w:val="TableNormal1"/>
    <w:tblPr>
      <w:tblStyleRowBandSize w:val="1"/>
      <w:tblStyleColBandSize w:val="1"/>
      <w:tblCellMar>
        <w:top w:w="72" w:type="dxa"/>
        <w:left w:w="115" w:type="dxa"/>
        <w:bottom w:w="72" w:type="dxa"/>
        <w:right w:w="115" w:type="dxa"/>
      </w:tblCellMar>
    </w:tblPr>
    <w:tcPr>
      <w:shd w:val="clear" w:color="auto" w:fill="auto"/>
    </w:tcPr>
  </w:style>
  <w:style w:type="table" w:customStyle="1" w:styleId="a7">
    <w:basedOn w:val="TableNormal0"/>
    <w:tblPr>
      <w:tblStyleRowBandSize w:val="1"/>
      <w:tblStyleColBandSize w:val="1"/>
      <w:tblCellMar>
        <w:left w:w="115" w:type="dxa"/>
        <w:right w:w="115" w:type="dxa"/>
      </w:tblCellMar>
    </w:tblPr>
    <w:tcPr>
      <w:shd w:val="clear" w:color="auto" w:fill="auto"/>
    </w:tcPr>
  </w:style>
  <w:style w:type="table" w:customStyle="1" w:styleId="a8">
    <w:basedOn w:val="TableNormal0"/>
    <w:tblPr>
      <w:tblStyleRowBandSize w:val="1"/>
      <w:tblStyleColBandSize w:val="1"/>
      <w:tblCellMar>
        <w:left w:w="115" w:type="dxa"/>
        <w:right w:w="115" w:type="dxa"/>
      </w:tblCellMar>
    </w:tblPr>
    <w:tcPr>
      <w:shd w:val="clear" w:color="auto" w:fill="auto"/>
    </w:tcPr>
  </w:style>
  <w:style w:type="table" w:customStyle="1" w:styleId="a9">
    <w:basedOn w:val="TableNormal0"/>
    <w:tblPr>
      <w:tblStyleRowBandSize w:val="1"/>
      <w:tblStyleColBandSize w:val="1"/>
      <w:tblCellMar>
        <w:left w:w="115" w:type="dxa"/>
        <w:right w:w="115" w:type="dxa"/>
      </w:tblCellMar>
    </w:tblPr>
    <w:tcPr>
      <w:shd w:val="clear" w:color="auto" w:fill="auto"/>
    </w:tcPr>
  </w:style>
  <w:style w:type="table" w:customStyle="1" w:styleId="aa">
    <w:basedOn w:val="TableNormal0"/>
    <w:tblPr>
      <w:tblStyleRowBandSize w:val="1"/>
      <w:tblStyleColBandSize w:val="1"/>
      <w:tblCellMar>
        <w:left w:w="115" w:type="dxa"/>
        <w:right w:w="115" w:type="dxa"/>
      </w:tblCellMar>
    </w:tblPr>
    <w:tcPr>
      <w:shd w:val="clear" w:color="auto" w:fill="auto"/>
    </w:tcPr>
  </w:style>
  <w:style w:type="paragraph" w:customStyle="1" w:styleId="TituloDocumento">
    <w:name w:val="Titulo Documento"/>
    <w:basedOn w:val="Normal"/>
    <w:link w:val="TituloDocumentoCar"/>
    <w:qFormat/>
    <w:rsid w:val="00C5239B"/>
    <w:pPr>
      <w:spacing w:before="240" w:after="240"/>
    </w:pPr>
    <w:rPr>
      <w:rFonts w:ascii="Arial" w:hAnsi="Arial" w:cs="Arial"/>
      <w:b/>
      <w:sz w:val="28"/>
      <w:szCs w:val="28"/>
    </w:rPr>
  </w:style>
  <w:style w:type="character" w:customStyle="1" w:styleId="TituloDocumentoCar">
    <w:name w:val="Titulo Documento Car"/>
    <w:basedOn w:val="Fuentedeprrafopredeter"/>
    <w:link w:val="TituloDocumento"/>
    <w:rsid w:val="00C5239B"/>
    <w:rPr>
      <w:rFonts w:ascii="Arial" w:hAnsi="Arial" w:cs="Arial"/>
      <w:b/>
      <w:sz w:val="28"/>
      <w:szCs w:val="28"/>
      <w:lang w:eastAsia="es-ES"/>
    </w:rPr>
  </w:style>
  <w:style w:type="character" w:customStyle="1" w:styleId="Mencinsinresolver2">
    <w:name w:val="Mención sin resolver2"/>
    <w:basedOn w:val="Fuentedeprrafopredeter"/>
    <w:uiPriority w:val="99"/>
    <w:semiHidden/>
    <w:unhideWhenUsed/>
    <w:rsid w:val="00646D7F"/>
    <w:rPr>
      <w:color w:val="605E5C"/>
      <w:shd w:val="clear" w:color="auto" w:fill="E1DFDD"/>
    </w:rPr>
  </w:style>
  <w:style w:type="character" w:styleId="Mencinsinresolver">
    <w:name w:val="Unresolved Mention"/>
    <w:basedOn w:val="Fuentedeprrafopredeter"/>
    <w:uiPriority w:val="99"/>
    <w:semiHidden/>
    <w:unhideWhenUsed/>
    <w:rsid w:val="008D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0987">
      <w:bodyDiv w:val="1"/>
      <w:marLeft w:val="0"/>
      <w:marRight w:val="0"/>
      <w:marTop w:val="0"/>
      <w:marBottom w:val="0"/>
      <w:divBdr>
        <w:top w:val="none" w:sz="0" w:space="0" w:color="auto"/>
        <w:left w:val="none" w:sz="0" w:space="0" w:color="auto"/>
        <w:bottom w:val="none" w:sz="0" w:space="0" w:color="auto"/>
        <w:right w:val="none" w:sz="0" w:space="0" w:color="auto"/>
      </w:divBdr>
    </w:div>
    <w:div w:id="1392190773">
      <w:bodyDiv w:val="1"/>
      <w:marLeft w:val="0"/>
      <w:marRight w:val="0"/>
      <w:marTop w:val="0"/>
      <w:marBottom w:val="0"/>
      <w:divBdr>
        <w:top w:val="none" w:sz="0" w:space="0" w:color="auto"/>
        <w:left w:val="none" w:sz="0" w:space="0" w:color="auto"/>
        <w:bottom w:val="none" w:sz="0" w:space="0" w:color="auto"/>
        <w:right w:val="none" w:sz="0" w:space="0" w:color="auto"/>
      </w:divBdr>
    </w:div>
    <w:div w:id="165328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4.9(1)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4469-056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HCF7El2Vjc/TheQbjVubjF5xQ==">AMUW2mWUjBhSTlAof+eoFdKZvO3YUXo6ZZiNW1ezk7eSwdJ7cz5+xRRgaqqiAZnJ7ZeLI5AiAACyPs67HciwaQYNYlkdbD2iMjPOCj0BBlyf9KM424ZnGyY=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2023-03-30T13:26:00Z</cp:lastPrinted>
  <dcterms:created xsi:type="dcterms:W3CDTF">2023-12-07T17:52:00Z</dcterms:created>
  <dcterms:modified xsi:type="dcterms:W3CDTF">2023-12-07T17:52:00Z</dcterms:modified>
</cp:coreProperties>
</file>