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046" w:rsidRDefault="00852BC5">
      <w:pPr>
        <w:widowControl w:val="0"/>
        <w:pBdr>
          <w:top w:val="nil"/>
          <w:left w:val="nil"/>
          <w:bottom w:val="nil"/>
          <w:right w:val="nil"/>
          <w:between w:val="nil"/>
        </w:pBdr>
        <w:spacing w:line="276" w:lineRule="auto"/>
        <w:jc w:val="left"/>
      </w:pPr>
      <w:r>
        <w:pict w14:anchorId="05E12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9264;visibility:hidden">
            <o:lock v:ext="edit" selection="t"/>
          </v:shape>
        </w:pict>
      </w:r>
      <w:r>
        <w:pict w14:anchorId="29FDE3C8">
          <v:shape id="_x0000_s1030" type="#_x0000_t136" style="position:absolute;margin-left:0;margin-top:0;width:50pt;height:50pt;z-index:251660288;visibility:hidden">
            <o:lock v:ext="edit" selection="t"/>
          </v:shape>
        </w:pict>
      </w:r>
      <w:r>
        <w:pict w14:anchorId="16647161">
          <v:shape id="_x0000_s1029" type="#_x0000_t136" style="position:absolute;margin-left:0;margin-top:0;width:50pt;height:50pt;z-index:251661312;visibility:hidden">
            <o:lock v:ext="edit" selection="t"/>
          </v:shape>
        </w:pict>
      </w:r>
      <w:r>
        <w:pict w14:anchorId="0A3063CD">
          <v:shape id="_x0000_s1028" type="#_x0000_t136" style="position:absolute;margin-left:0;margin-top:0;width:50pt;height:50pt;z-index:251662336;visibility:hidden">
            <o:lock v:ext="edit" selection="t"/>
          </v:shape>
        </w:pict>
      </w:r>
      <w:r>
        <w:pict w14:anchorId="04F3132A">
          <v:shape id="_x0000_s1027" type="#_x0000_t136" style="position:absolute;margin-left:0;margin-top:0;width:50pt;height:50pt;z-index:251663360;visibility:hidden">
            <o:lock v:ext="edit" selection="t"/>
          </v:shape>
        </w:pict>
      </w:r>
      <w:r>
        <w:pict w14:anchorId="482E28C3">
          <v:shape id="_x0000_s1026" type="#_x0000_t136" style="position:absolute;margin-left:0;margin-top:0;width:50pt;height:50pt;z-index:251664384;visibility:hidden">
            <o:lock v:ext="edit" selection="t"/>
          </v:shape>
        </w:pict>
      </w:r>
    </w:p>
    <w:p w:rsidR="004F7046" w:rsidRDefault="00596917">
      <w:pPr>
        <w:pStyle w:val="Ttulo1"/>
        <w:spacing w:before="0" w:after="0"/>
        <w:ind w:hanging="142"/>
        <w:jc w:val="right"/>
        <w:rPr>
          <w:rFonts w:ascii="Verdana" w:eastAsia="Verdana" w:hAnsi="Verdana" w:cs="Verdana"/>
          <w:b w:val="0"/>
          <w:sz w:val="16"/>
          <w:szCs w:val="16"/>
          <w:highlight w:val="white"/>
        </w:rPr>
      </w:pPr>
      <w:r>
        <w:rPr>
          <w:b w:val="0"/>
          <w:sz w:val="20"/>
          <w:szCs w:val="20"/>
        </w:rPr>
        <w:t>ARTICULO ORIGINA Rev. Methodo</w:t>
      </w:r>
      <w:r>
        <w:rPr>
          <w:b w:val="0"/>
          <w:sz w:val="18"/>
          <w:szCs w:val="18"/>
        </w:rPr>
        <w:t xml:space="preserve"> 2025;10(3):</w:t>
      </w:r>
      <w:r w:rsidR="008B5940">
        <w:rPr>
          <w:b w:val="0"/>
          <w:sz w:val="18"/>
          <w:szCs w:val="18"/>
        </w:rPr>
        <w:t>15-</w:t>
      </w:r>
      <w:r w:rsidR="00FA5FB0">
        <w:rPr>
          <w:b w:val="0"/>
          <w:sz w:val="18"/>
          <w:szCs w:val="18"/>
        </w:rPr>
        <w:t>2</w:t>
      </w:r>
      <w:r w:rsidR="005F1EBB">
        <w:rPr>
          <w:b w:val="0"/>
          <w:sz w:val="18"/>
          <w:szCs w:val="18"/>
        </w:rPr>
        <w:t>2</w:t>
      </w:r>
      <w:r>
        <w:rPr>
          <w:rFonts w:ascii="Verdana" w:eastAsia="Verdana" w:hAnsi="Verdana" w:cs="Verdana"/>
          <w:b w:val="0"/>
          <w:sz w:val="17"/>
          <w:szCs w:val="17"/>
        </w:rPr>
        <w:t xml:space="preserve">                                                                                                   </w:t>
      </w:r>
      <w:hyperlink r:id="rId7" w:history="1">
        <w:r w:rsidRPr="00FA5FB0">
          <w:rPr>
            <w:rStyle w:val="Hipervnculo"/>
            <w:rFonts w:ascii="Verdana" w:eastAsia="Verdana" w:hAnsi="Verdana" w:cs="Verdana"/>
            <w:b w:val="0"/>
            <w:color w:val="auto"/>
            <w:sz w:val="17"/>
            <w:szCs w:val="17"/>
          </w:rPr>
          <w:t>https://doi.org/10.22529/me.2025.10</w:t>
        </w:r>
        <w:r w:rsidRPr="00FA5FB0">
          <w:rPr>
            <w:rStyle w:val="Hipervnculo"/>
            <w:rFonts w:ascii="Verdana" w:eastAsia="Verdana" w:hAnsi="Verdana" w:cs="Verdana"/>
            <w:b w:val="0"/>
            <w:color w:val="auto"/>
            <w:sz w:val="16"/>
            <w:szCs w:val="16"/>
            <w:highlight w:val="white"/>
          </w:rPr>
          <w:t>(3)</w:t>
        </w:r>
        <w:r w:rsidR="008B5940" w:rsidRPr="00FA5FB0">
          <w:rPr>
            <w:rStyle w:val="Hipervnculo"/>
            <w:rFonts w:ascii="Verdana" w:eastAsia="Verdana" w:hAnsi="Verdana" w:cs="Verdana"/>
            <w:b w:val="0"/>
            <w:color w:val="auto"/>
            <w:sz w:val="16"/>
            <w:szCs w:val="16"/>
            <w:highlight w:val="white"/>
          </w:rPr>
          <w:t>03</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4F7046">
        <w:trPr>
          <w:trHeight w:val="332"/>
        </w:trPr>
        <w:tc>
          <w:tcPr>
            <w:tcW w:w="5396" w:type="dxa"/>
            <w:vAlign w:val="center"/>
          </w:tcPr>
          <w:p w:rsidR="004F7046" w:rsidRDefault="00596917">
            <w:pPr>
              <w:spacing w:line="360" w:lineRule="auto"/>
              <w:rPr>
                <w:rFonts w:ascii="Arial" w:eastAsia="Arial" w:hAnsi="Arial" w:cs="Arial"/>
                <w:sz w:val="16"/>
                <w:szCs w:val="16"/>
              </w:rPr>
            </w:pPr>
            <w:r>
              <w:rPr>
                <w:rFonts w:ascii="Arial" w:eastAsia="Arial" w:hAnsi="Arial" w:cs="Arial"/>
                <w:sz w:val="16"/>
                <w:szCs w:val="16"/>
              </w:rPr>
              <w:t xml:space="preserve"> Recibido 07 </w:t>
            </w:r>
            <w:proofErr w:type="gramStart"/>
            <w:r>
              <w:rPr>
                <w:rFonts w:ascii="Arial" w:eastAsia="Arial" w:hAnsi="Arial" w:cs="Arial"/>
                <w:sz w:val="16"/>
                <w:szCs w:val="16"/>
              </w:rPr>
              <w:t>Abr.</w:t>
            </w:r>
            <w:proofErr w:type="gramEnd"/>
            <w:r>
              <w:rPr>
                <w:rFonts w:ascii="Arial" w:eastAsia="Arial" w:hAnsi="Arial" w:cs="Arial"/>
                <w:sz w:val="16"/>
                <w:szCs w:val="16"/>
              </w:rPr>
              <w:t xml:space="preserve"> 2025 | Aceptado 20 May. 202</w:t>
            </w:r>
            <w:r w:rsidR="003D558C">
              <w:rPr>
                <w:rFonts w:ascii="Arial" w:eastAsia="Arial" w:hAnsi="Arial" w:cs="Arial"/>
                <w:sz w:val="16"/>
                <w:szCs w:val="16"/>
              </w:rPr>
              <w:t>5</w:t>
            </w:r>
            <w:r>
              <w:rPr>
                <w:rFonts w:ascii="Arial" w:eastAsia="Arial" w:hAnsi="Arial" w:cs="Arial"/>
                <w:sz w:val="16"/>
                <w:szCs w:val="16"/>
              </w:rPr>
              <w:t xml:space="preserve"> | Publicado </w:t>
            </w:r>
            <w:r w:rsidR="003D558C">
              <w:rPr>
                <w:rFonts w:ascii="Arial" w:eastAsia="Arial" w:hAnsi="Arial" w:cs="Arial"/>
                <w:sz w:val="16"/>
                <w:szCs w:val="16"/>
              </w:rPr>
              <w:t xml:space="preserve">04 </w:t>
            </w:r>
            <w:bookmarkStart w:id="0" w:name="_GoBack"/>
            <w:bookmarkEnd w:id="0"/>
            <w:r>
              <w:rPr>
                <w:rFonts w:ascii="Arial" w:eastAsia="Arial" w:hAnsi="Arial" w:cs="Arial"/>
                <w:sz w:val="16"/>
                <w:szCs w:val="16"/>
              </w:rPr>
              <w:t>Jul. 2025</w:t>
            </w:r>
          </w:p>
        </w:tc>
        <w:tc>
          <w:tcPr>
            <w:tcW w:w="3157" w:type="dxa"/>
            <w:shd w:val="clear" w:color="auto" w:fill="509D2F"/>
            <w:vAlign w:val="center"/>
          </w:tcPr>
          <w:p w:rsidR="004F7046" w:rsidRDefault="004F7046">
            <w:pPr>
              <w:spacing w:line="360" w:lineRule="auto"/>
              <w:jc w:val="center"/>
              <w:rPr>
                <w:rFonts w:ascii="Arial" w:eastAsia="Arial" w:hAnsi="Arial" w:cs="Arial"/>
                <w:color w:val="509D2F"/>
                <w:sz w:val="16"/>
                <w:szCs w:val="16"/>
              </w:rPr>
            </w:pPr>
          </w:p>
        </w:tc>
      </w:tr>
    </w:tbl>
    <w:p w:rsidR="004F7046" w:rsidRDefault="004F7046">
      <w:pPr>
        <w:sectPr w:rsidR="004F7046">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rsidR="004F7046" w:rsidRDefault="00596917" w:rsidP="00FA5FB0">
      <w:pPr>
        <w:pBdr>
          <w:top w:val="nil"/>
          <w:left w:val="nil"/>
          <w:bottom w:val="nil"/>
          <w:right w:val="nil"/>
          <w:between w:val="nil"/>
        </w:pBdr>
        <w:jc w:val="left"/>
        <w:rPr>
          <w:rFonts w:ascii="Arial" w:eastAsia="Arial" w:hAnsi="Arial" w:cs="Arial"/>
          <w:b/>
          <w:sz w:val="28"/>
          <w:szCs w:val="28"/>
        </w:rPr>
      </w:pPr>
      <w:r>
        <w:rPr>
          <w:rFonts w:ascii="Arial" w:eastAsia="Arial" w:hAnsi="Arial" w:cs="Arial"/>
          <w:b/>
          <w:sz w:val="28"/>
          <w:szCs w:val="28"/>
        </w:rPr>
        <w:t>Evaluación de escalas pronósticas para pacientes hospitalizados por infección por SARS-CoV-2 en una clínica privada de Córdoba</w:t>
      </w:r>
    </w:p>
    <w:p w:rsidR="004F7046" w:rsidRDefault="004F7046" w:rsidP="00FA5FB0">
      <w:pPr>
        <w:pBdr>
          <w:top w:val="nil"/>
          <w:left w:val="nil"/>
          <w:bottom w:val="nil"/>
          <w:right w:val="nil"/>
          <w:between w:val="nil"/>
        </w:pBdr>
        <w:rPr>
          <w:rFonts w:ascii="Arial" w:eastAsia="Arial" w:hAnsi="Arial" w:cs="Arial"/>
          <w:b/>
          <w:sz w:val="28"/>
          <w:szCs w:val="28"/>
        </w:rPr>
      </w:pPr>
    </w:p>
    <w:p w:rsidR="004F7046" w:rsidRPr="008B5940" w:rsidRDefault="00596917" w:rsidP="00FA5FB0">
      <w:pPr>
        <w:pBdr>
          <w:top w:val="nil"/>
          <w:left w:val="nil"/>
          <w:bottom w:val="nil"/>
          <w:right w:val="nil"/>
          <w:between w:val="nil"/>
        </w:pBdr>
        <w:rPr>
          <w:rFonts w:ascii="Arial" w:eastAsia="Arial" w:hAnsi="Arial" w:cs="Arial"/>
          <w:b/>
          <w:sz w:val="28"/>
          <w:szCs w:val="28"/>
          <w:lang w:val="en-US"/>
        </w:rPr>
      </w:pPr>
      <w:r w:rsidRPr="008B5940">
        <w:rPr>
          <w:rFonts w:ascii="Arial" w:eastAsia="Arial" w:hAnsi="Arial" w:cs="Arial"/>
          <w:b/>
          <w:sz w:val="28"/>
          <w:szCs w:val="28"/>
          <w:lang w:val="en-US"/>
        </w:rPr>
        <w:t xml:space="preserve">Evaluation of prognostic scales for patients hospitalized with sars-cov2 infection in a private clinic in Córdoba </w:t>
      </w:r>
    </w:p>
    <w:p w:rsidR="004F7046" w:rsidRDefault="00596917">
      <w:pPr>
        <w:pBdr>
          <w:top w:val="nil"/>
          <w:left w:val="nil"/>
          <w:bottom w:val="nil"/>
          <w:right w:val="nil"/>
          <w:between w:val="nil"/>
        </w:pBdr>
        <w:jc w:val="left"/>
      </w:pPr>
      <w:r>
        <w:t>Valentina Echegaray</w:t>
      </w:r>
      <w:r>
        <w:rPr>
          <w:vertAlign w:val="superscript"/>
        </w:rPr>
        <w:t>1</w:t>
      </w:r>
      <w:r>
        <w:rPr>
          <w:noProof/>
        </w:rPr>
        <w:drawing>
          <wp:inline distT="0" distB="0" distL="0" distR="0">
            <wp:extent cx="182880" cy="149225"/>
            <wp:effectExtent l="0" t="0" r="7620" b="3175"/>
            <wp:docPr id="1078" name="image1.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8" name="image1.png">
                      <a:hlinkClick r:id="rId14"/>
                    </pic:cNvPr>
                    <pic:cNvPicPr preferRelativeResize="0"/>
                  </pic:nvPicPr>
                  <pic:blipFill>
                    <a:blip r:embed="rId15"/>
                    <a:srcRect/>
                    <a:stretch>
                      <a:fillRect/>
                    </a:stretch>
                  </pic:blipFill>
                  <pic:spPr>
                    <a:xfrm>
                      <a:off x="0" y="0"/>
                      <a:ext cx="182880" cy="149225"/>
                    </a:xfrm>
                    <a:prstGeom prst="rect">
                      <a:avLst/>
                    </a:prstGeom>
                    <a:ln/>
                  </pic:spPr>
                </pic:pic>
              </a:graphicData>
            </a:graphic>
          </wp:inline>
        </w:drawing>
      </w:r>
      <w:r>
        <w:t>, Florencia Belén Cabrera</w:t>
      </w:r>
      <w:r>
        <w:rPr>
          <w:vertAlign w:val="superscript"/>
        </w:rPr>
        <w:t>1</w:t>
      </w:r>
      <w:r>
        <w:rPr>
          <w:noProof/>
        </w:rPr>
        <w:drawing>
          <wp:inline distT="0" distB="0" distL="0" distR="0">
            <wp:extent cx="188976" cy="149225"/>
            <wp:effectExtent l="0" t="0" r="1905" b="3175"/>
            <wp:docPr id="1080" name="image1.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080" name="image1.png">
                      <a:hlinkClick r:id="rId16"/>
                    </pic:cNvPr>
                    <pic:cNvPicPr preferRelativeResize="0"/>
                  </pic:nvPicPr>
                  <pic:blipFill>
                    <a:blip r:embed="rId15"/>
                    <a:srcRect/>
                    <a:stretch>
                      <a:fillRect/>
                    </a:stretch>
                  </pic:blipFill>
                  <pic:spPr>
                    <a:xfrm>
                      <a:off x="0" y="0"/>
                      <a:ext cx="191259" cy="151027"/>
                    </a:xfrm>
                    <a:prstGeom prst="rect">
                      <a:avLst/>
                    </a:prstGeom>
                    <a:ln/>
                  </pic:spPr>
                </pic:pic>
              </a:graphicData>
            </a:graphic>
          </wp:inline>
        </w:drawing>
      </w:r>
      <w:r>
        <w:t>, Ignacio Gutiérrez Magaldi</w:t>
      </w:r>
      <w:r>
        <w:rPr>
          <w:vertAlign w:val="superscript"/>
        </w:rPr>
        <w:t>1</w:t>
      </w:r>
      <w:r>
        <w:rPr>
          <w:noProof/>
        </w:rPr>
        <w:drawing>
          <wp:inline distT="0" distB="0" distL="0" distR="0">
            <wp:extent cx="207010" cy="149225"/>
            <wp:effectExtent l="0" t="0" r="2540" b="3175"/>
            <wp:docPr id="1079" name="image1.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079" name="image1.png">
                      <a:hlinkClick r:id="rId17"/>
                    </pic:cNvPr>
                    <pic:cNvPicPr preferRelativeResize="0"/>
                  </pic:nvPicPr>
                  <pic:blipFill>
                    <a:blip r:embed="rId15"/>
                    <a:srcRect/>
                    <a:stretch>
                      <a:fillRect/>
                    </a:stretch>
                  </pic:blipFill>
                  <pic:spPr>
                    <a:xfrm>
                      <a:off x="0" y="0"/>
                      <a:ext cx="209663" cy="151137"/>
                    </a:xfrm>
                    <a:prstGeom prst="rect">
                      <a:avLst/>
                    </a:prstGeom>
                    <a:ln/>
                  </pic:spPr>
                </pic:pic>
              </a:graphicData>
            </a:graphic>
          </wp:inline>
        </w:drawing>
      </w:r>
    </w:p>
    <w:p w:rsidR="004F7046" w:rsidRDefault="004F7046">
      <w:pPr>
        <w:pBdr>
          <w:top w:val="nil"/>
          <w:left w:val="nil"/>
          <w:bottom w:val="nil"/>
          <w:right w:val="nil"/>
          <w:between w:val="nil"/>
        </w:pBdr>
        <w:jc w:val="left"/>
      </w:pPr>
    </w:p>
    <w:p w:rsidR="004F7046" w:rsidRDefault="00596917">
      <w:pPr>
        <w:rPr>
          <w:vertAlign w:val="superscript"/>
        </w:rPr>
      </w:pPr>
      <w:r>
        <w:rPr>
          <w:vertAlign w:val="superscript"/>
        </w:rPr>
        <w:t>1.</w:t>
      </w:r>
      <w:r>
        <w:t xml:space="preserve"> </w:t>
      </w:r>
      <w:r>
        <w:rPr>
          <w:vertAlign w:val="superscript"/>
        </w:rPr>
        <w:t>Universidad Católica de Córdoba, Facultad de Ciencias de la Salud, Clínica Universitaria Reina Fabiola, Servicio de Medicina Interna</w:t>
      </w:r>
    </w:p>
    <w:p w:rsidR="004F7046" w:rsidRDefault="00596917">
      <w:pPr>
        <w:rPr>
          <w:sz w:val="24"/>
        </w:rPr>
      </w:pPr>
      <w:r>
        <w:rPr>
          <w:vertAlign w:val="superscript"/>
        </w:rPr>
        <w:t>Correspondencia: Florencia Belén Cabrera Email: florenciacabrera@curf.ucc.edu.ar</w:t>
      </w:r>
    </w:p>
    <w:p w:rsidR="004F7046" w:rsidRDefault="00596917">
      <w:pPr>
        <w:pStyle w:val="Ttulo1"/>
        <w:rPr>
          <w:b w:val="0"/>
        </w:rPr>
      </w:pPr>
      <w:r>
        <w:t>Resumen</w:t>
      </w:r>
      <w:r>
        <w:tab/>
      </w:r>
    </w:p>
    <w:p w:rsidR="004F7046" w:rsidRDefault="00596917">
      <w:r>
        <w:t xml:space="preserve">INTRODUCCION: Las puntuaciones de pronóstico constituyen herramientas útiles para el abordaje clínico de la infección por COVID-19, ya que permiten un oportuno reconocimiento de la enfermedad grave para una adecuada aplicación de cuidados intensivos y una precisa estratificación de riesgo en pacientes hospitalizados. El objetivo de este estudio es evaluar la utilidad de los </w:t>
      </w:r>
      <w:r>
        <w:rPr>
          <w:i/>
        </w:rPr>
        <w:t>scores</w:t>
      </w:r>
      <w:r>
        <w:t xml:space="preserve"> pronósticos 4C, NEWS2 y CALL para identificar pacientes con enfermedad grave por COVID-19, alto riesgo de ingreso a unidad crítica (UTI) y mortalidad en el contexto de internado de sala común.</w:t>
      </w:r>
    </w:p>
    <w:p w:rsidR="004F7046" w:rsidRDefault="00596917">
      <w:r>
        <w:t xml:space="preserve">MATERIAL Y MÉTODO: Diseño observacional, retrospectivo. Se evaluaron pacientes adultos, con diagnóstico de infección por COVID-19 hospitalizados en sala común en el año 2020. Se calcularon los </w:t>
      </w:r>
      <w:r>
        <w:rPr>
          <w:i/>
        </w:rPr>
        <w:t xml:space="preserve">scores </w:t>
      </w:r>
      <w:r>
        <w:t>4C, NEWS2 y CALL y su correlación con el requerimiento de traslado a UTI y la mortalidad intrahospitalaria. Se realizó un análisis de curvas ROC, calculando el área bajo la curva para las diferentes escalas, así como sensibilidad, especificidad y valores predictivos.</w:t>
      </w:r>
    </w:p>
    <w:p w:rsidR="004F7046" w:rsidRDefault="00596917">
      <w:r>
        <w:t>RESULTADOS: Se incluyeron en el estudio 113 pacientes. Las áreas bajo las curvas ROC en cuanto al requerimiento de ingreso a UTI fueron: escala 4C=0.52 (IC 95%= 0.44 - 0.60), escala CALL=0.80 (IC 95%= 0.74 - 0.86), escala NEWS 2=0.71 (IC 95%= 0.64 - 0.78). Las áreas bajo las curvas ROC en cuanto a la mortalidad resultaron: escala 4C=0.91 (IC 95%= 0.87 - 0.94), escala CALL=0.88 (IC 95%= 0.83- 0.92), escala NEWS 2=0.81 (IC 95%= 0.75 - 0.87).</w:t>
      </w:r>
    </w:p>
    <w:p w:rsidR="004F7046" w:rsidRDefault="00596917">
      <w:r>
        <w:t>CONCLUSION: La escala CALL fue la más precisa como predictora tanto para el ingreso a UTI como para la mortalidad, lo que respalda su utilidad como herramienta pronóstica en pacientes con COVID-19. Por otra parte, la escala 4C demostró una pobre capacidad predictiva en cuanto al requerimiento de ingreso a UTI, pero una discriminación predictiva excelente en cuanto a mortalidad intrahospitalaria, mientras que la escala NEWS 2 demostró una capacidad predictiva regular en ambos ámbitos.</w:t>
      </w:r>
    </w:p>
    <w:p w:rsidR="004F7046" w:rsidRDefault="004F7046"/>
    <w:p w:rsidR="004F7046" w:rsidRDefault="00596917">
      <w:pPr>
        <w:rPr>
          <w:rFonts w:ascii="Arial" w:eastAsia="Arial" w:hAnsi="Arial" w:cs="Arial"/>
          <w:b/>
          <w:sz w:val="24"/>
        </w:rPr>
      </w:pPr>
      <w:r>
        <w:rPr>
          <w:rFonts w:ascii="Arial" w:eastAsia="Arial" w:hAnsi="Arial" w:cs="Arial"/>
          <w:b/>
          <w:sz w:val="24"/>
        </w:rPr>
        <w:t>Palabras claves</w:t>
      </w:r>
      <w:r>
        <w:rPr>
          <w:rFonts w:ascii="Arial" w:eastAsia="Arial" w:hAnsi="Arial" w:cs="Arial"/>
          <w:sz w:val="24"/>
        </w:rPr>
        <w:t xml:space="preserve">: </w:t>
      </w:r>
      <w:r>
        <w:t>COVID-19, escalas pronósticas, mortalidad</w:t>
      </w:r>
    </w:p>
    <w:p w:rsidR="004F7046" w:rsidRPr="008B5940" w:rsidRDefault="00596917">
      <w:pPr>
        <w:pStyle w:val="Ttulo1"/>
        <w:rPr>
          <w:lang w:val="en-US"/>
        </w:rPr>
      </w:pPr>
      <w:r w:rsidRPr="008B5940">
        <w:rPr>
          <w:lang w:val="en-US"/>
        </w:rPr>
        <w:t>Abstract</w:t>
      </w:r>
    </w:p>
    <w:p w:rsidR="004F7046" w:rsidRPr="008B5940" w:rsidRDefault="008B5940">
      <w:pPr>
        <w:rPr>
          <w:lang w:val="en-US"/>
        </w:rPr>
      </w:pPr>
      <w:r>
        <w:rPr>
          <w:noProof/>
        </w:rPr>
        <mc:AlternateContent>
          <mc:Choice Requires="wps">
            <w:drawing>
              <wp:anchor distT="0" distB="0" distL="114300" distR="114300" simplePos="0" relativeHeight="251651072" behindDoc="0" locked="0" layoutInCell="1" hidden="0" allowOverlap="1">
                <wp:simplePos x="0" y="0"/>
                <wp:positionH relativeFrom="column">
                  <wp:posOffset>5692775</wp:posOffset>
                </wp:positionH>
                <wp:positionV relativeFrom="paragraph">
                  <wp:posOffset>1101725</wp:posOffset>
                </wp:positionV>
                <wp:extent cx="434528" cy="389452"/>
                <wp:effectExtent l="0" t="0" r="0" b="0"/>
                <wp:wrapNone/>
                <wp:docPr id="1076" name="Rectángulo 1076"/>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4F7046" w:rsidRDefault="008B5940">
                            <w:pPr>
                              <w:jc w:val="center"/>
                              <w:textDirection w:val="btLr"/>
                            </w:pPr>
                            <w:r>
                              <w:rPr>
                                <w:b/>
                                <w:color w:val="FFFFFF"/>
                                <w:sz w:val="24"/>
                              </w:rPr>
                              <w:t>15</w:t>
                            </w:r>
                          </w:p>
                        </w:txbxContent>
                      </wps:txbx>
                      <wps:bodyPr spcFirstLastPara="1" wrap="square" lIns="91425" tIns="45675" rIns="91425" bIns="45675" anchor="t" anchorCtr="0">
                        <a:noAutofit/>
                      </wps:bodyPr>
                    </wps:wsp>
                  </a:graphicData>
                </a:graphic>
              </wp:anchor>
            </w:drawing>
          </mc:Choice>
          <mc:Fallback>
            <w:pict>
              <v:rect id="Rectángulo 1076" o:spid="_x0000_s1026" style="position:absolute;left:0;text-align:left;margin-left:448.25pt;margin-top:86.75pt;width:34.2pt;height:30.65pt;flip:x;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HoMwIAAGkEAAAOAAAAZHJzL2Uyb0RvYy54bWysVG2O0zAQ/Y/EHSz/p0m77e42arpCWwpI&#10;K6hYOMDUsRNL/sJ2m/Q4nIWLMXZLtwtISIj+sGY80+c3b2ayuBu0Invug7SmpuNRSQk3zDbStDX9&#10;8nn96paSEME0oKzhNT3wQO+WL18selfxie2sargnCGJC1buadjG6qigC67iGMLKOGwwK6zVEdH1b&#10;NB56RNeqmJTlddFb3zhvGQ8Bb1fHIF1mfCE4ix+FCDwSVVPkFvPp87lNZ7FcQNV6cJ1kJxrwDyw0&#10;SIOPnqFWEIHsvPwNSkvmbbAijpjVhRVCMp5rwGrG5S/VPHbgeK4FxQnuLFP4f7Dsw37jiWywd+XN&#10;NSUGNHbpE+r2/Ztpd8qSfI8y9S5UmP3oNv7kBTRTzYPwmggl3TtEySpgXWTIIh/OIvMhEoaX06vp&#10;bIJTwTB0dTtHJzWhOMIkOOdDfMutJsmoqUcuGRT2DyEeU3+mpPRglWzWUqns+HZ7rzzZA/Z7Vs5X&#10;k/UJ/VmaMqSv6Xw2mSEPwLETCiKa2qEQwbT5vWf/CJfAZf79CTgRW0HojgQyQkqDytudabLVcWje&#10;mIbEg0OlDW4FTWSCpkRx3CE0cl4Eqf6eh7opg/Kl7hz7kaw4bAcESebWNgfscHBsLZHcA4S4AY8z&#10;PsZnce7xwa878EhCvTc4WPPxNKkSszOdXd+g4y8j28sIGNZZXCcU72jex7xcqWRjX++iFTL37InK&#10;iSzOc+76affSwlz6OevpC7H8AQAA//8DAFBLAwQUAAYACAAAACEA69HHWuMAAAALAQAADwAAAGRy&#10;cy9kb3ducmV2LnhtbEyPTU/DMAyG70j8h8hIXBBL2UdpS9MJTUNcBoINiWvamLascaYm3bp/jznB&#10;zdb76PXjfDnaThyx960jBXeTCARS5UxLtYKP3dNtAsIHTUZ3jlDBGT0si8uLXGfGnegdj9tQCy4h&#10;n2kFTQiHTEpfNWi1n7gDEmdfrrc68NrX0vT6xOW2k9MoiqXVLfGFRh9w1WC13w5WgT8Pu5vN88v6&#10;bS8X5ntdvparT1Tq+mp8fAARcAx/MPzqszoU7FS6gYwXnYIkjReMcnA/44GJNJ6nIEoF09k8AVnk&#10;8v8PxQ8AAAD//wMAUEsBAi0AFAAGAAgAAAAhALaDOJL+AAAA4QEAABMAAAAAAAAAAAAAAAAAAAAA&#10;AFtDb250ZW50X1R5cGVzXS54bWxQSwECLQAUAAYACAAAACEAOP0h/9YAAACUAQAACwAAAAAAAAAA&#10;AAAAAAAvAQAAX3JlbHMvLnJlbHNQSwECLQAUAAYACAAAACEAtpaB6DMCAABpBAAADgAAAAAAAAAA&#10;AAAAAAAuAgAAZHJzL2Uyb0RvYy54bWxQSwECLQAUAAYACAAAACEA69HHWuMAAAALAQAADwAAAAAA&#10;AAAAAAAAAACNBAAAZHJzL2Rvd25yZXYueG1sUEsFBgAAAAAEAAQA8wAAAJ0FAAAAAA==&#10;" fillcolor="#509d2f">
                <v:stroke startarrowwidth="narrow" startarrowlength="short" endarrowwidth="narrow" endarrowlength="short" joinstyle="round"/>
                <v:textbox inset="2.53958mm,1.26875mm,2.53958mm,1.26875mm">
                  <w:txbxContent>
                    <w:p w:rsidR="004F7046" w:rsidRDefault="008B5940">
                      <w:pPr>
                        <w:jc w:val="center"/>
                        <w:textDirection w:val="btLr"/>
                      </w:pPr>
                      <w:r>
                        <w:rPr>
                          <w:b/>
                          <w:color w:val="FFFFFF"/>
                          <w:sz w:val="24"/>
                        </w:rPr>
                        <w:t>15</w:t>
                      </w:r>
                    </w:p>
                  </w:txbxContent>
                </v:textbox>
              </v:rect>
            </w:pict>
          </mc:Fallback>
        </mc:AlternateContent>
      </w:r>
      <w:r w:rsidR="00596917" w:rsidRPr="008B5940">
        <w:rPr>
          <w:color w:val="000000"/>
          <w:lang w:val="en-US"/>
        </w:rPr>
        <w:t xml:space="preserve">INTRODUCTION: </w:t>
      </w:r>
      <w:r w:rsidR="00596917" w:rsidRPr="008B5940">
        <w:rPr>
          <w:lang w:val="en-US"/>
        </w:rPr>
        <w:t xml:space="preserve">Prognostic </w:t>
      </w:r>
      <w:r w:rsidR="00596917" w:rsidRPr="008B5940">
        <w:rPr>
          <w:i/>
          <w:lang w:val="en-US"/>
        </w:rPr>
        <w:t>scores</w:t>
      </w:r>
      <w:r w:rsidR="00596917" w:rsidRPr="008B5940">
        <w:rPr>
          <w:lang w:val="en-US"/>
        </w:rPr>
        <w:t xml:space="preserve"> are useful tools for the clinical management of COVID-19 infection, as they allow for timely recognition of severe disease for appropriate intensive care and accurate risk stratification in hospitalized patients. The objective of this study was to evaluate the usefulness of the 4C, NEWS2, and CALL prognostic </w:t>
      </w:r>
      <w:r w:rsidR="00596917" w:rsidRPr="008B5940">
        <w:rPr>
          <w:i/>
          <w:lang w:val="en-US"/>
        </w:rPr>
        <w:t>scores</w:t>
      </w:r>
      <w:r w:rsidR="00596917" w:rsidRPr="008B5940">
        <w:rPr>
          <w:lang w:val="en-US"/>
        </w:rPr>
        <w:t xml:space="preserve"> in identifying patients with severe COVID-19 disease, high risk of admission to a critical care unit (ICU), and mortality in the context of regular ward admission.</w:t>
      </w:r>
    </w:p>
    <w:p w:rsidR="004F7046" w:rsidRPr="008B5940" w:rsidRDefault="00596917">
      <w:pPr>
        <w:rPr>
          <w:lang w:val="en-US"/>
        </w:rPr>
      </w:pPr>
      <w:r w:rsidRPr="008B5940">
        <w:rPr>
          <w:lang w:val="en-US"/>
        </w:rPr>
        <w:lastRenderedPageBreak/>
        <w:t xml:space="preserve">MATERIALS AND METHODS: A retrospective, observational design was used. Adult patients diagnosed with COVID-19 and hospitalized in a general ward in 2020 were evaluated. The 4C, NEWS2, and CALL </w:t>
      </w:r>
      <w:r w:rsidRPr="008B5940">
        <w:rPr>
          <w:i/>
          <w:lang w:val="en-US"/>
        </w:rPr>
        <w:t>scores</w:t>
      </w:r>
      <w:r w:rsidRPr="008B5940">
        <w:rPr>
          <w:lang w:val="en-US"/>
        </w:rPr>
        <w:t xml:space="preserve"> were calculated, along with their correlation with the need for ICU transfer and in-hospital mortality. ROC curve analysis was performed, calculating the area under the curve for the different scales, as well as sensitivity, specificity, and predictive values.</w:t>
      </w:r>
    </w:p>
    <w:p w:rsidR="004F7046" w:rsidRPr="008B5940" w:rsidRDefault="00596917">
      <w:pPr>
        <w:rPr>
          <w:lang w:val="en-US"/>
        </w:rPr>
      </w:pPr>
      <w:r w:rsidRPr="008B5940">
        <w:rPr>
          <w:lang w:val="en-US"/>
        </w:rPr>
        <w:t>RESULTS: A total of 113 patients were included in the study. The areas under the ROC curves for the requirement for ICU admission were: 4C scale = 0.52 (95% CI = 0.44 - 0.60), CALL scale = 0.80 (95% CI = 0.74 - 0.86), NEWS 2 scale = 0.71 (95% CI = 0.64 - 0.78). The areas under the ROC curves for mortality were: 4C scale = 0.91 (95% CI = 0.87 - 0.94), CALL scale = 0.88 (95% CI = 0.83 - 0.92), NEWS 2 scale = 0.81 (95% CI = 0.75 - 0.87).</w:t>
      </w:r>
    </w:p>
    <w:p w:rsidR="004F7046" w:rsidRPr="008B5940" w:rsidRDefault="00596917">
      <w:pPr>
        <w:rPr>
          <w:lang w:val="en-US"/>
        </w:rPr>
      </w:pPr>
      <w:r w:rsidRPr="008B5940">
        <w:rPr>
          <w:lang w:val="en-US"/>
        </w:rPr>
        <w:t>CONCLUSION: The CALL score was the most accurate predictor of both ICU admission and mortality, supporting its usefulness as a prognostic tool in patients with COVID-19. On the other hand, the 4C score demonstrated poor predictive capacity for ICU admission but excellent predictive discrimination for in-hospital mortality, while the NEWS 2 score demonstrated fair predictive capacity for both.</w:t>
      </w:r>
    </w:p>
    <w:p w:rsidR="004F7046" w:rsidRPr="008B5940" w:rsidRDefault="004F7046">
      <w:pPr>
        <w:rPr>
          <w:lang w:val="en-US"/>
        </w:rPr>
      </w:pPr>
    </w:p>
    <w:p w:rsidR="004F7046" w:rsidRPr="008B5940" w:rsidRDefault="00596917">
      <w:pPr>
        <w:rPr>
          <w:lang w:val="en-US"/>
        </w:rPr>
        <w:sectPr w:rsidR="004F7046" w:rsidRPr="008B5940">
          <w:headerReference w:type="even" r:id="rId18"/>
          <w:headerReference w:type="default" r:id="rId19"/>
          <w:headerReference w:type="first" r:id="rId20"/>
          <w:type w:val="continuous"/>
          <w:pgSz w:w="11906" w:h="16838"/>
          <w:pgMar w:top="1531" w:right="1701" w:bottom="1418" w:left="1701" w:header="709" w:footer="709" w:gutter="0"/>
          <w:pgNumType w:start="18"/>
          <w:cols w:space="720"/>
          <w:titlePg/>
        </w:sectPr>
      </w:pPr>
      <w:r w:rsidRPr="008B5940">
        <w:rPr>
          <w:rFonts w:ascii="Arial" w:eastAsia="Arial" w:hAnsi="Arial" w:cs="Arial"/>
          <w:b/>
          <w:sz w:val="24"/>
          <w:lang w:val="en-US"/>
        </w:rPr>
        <w:t>Keywords</w:t>
      </w:r>
      <w:r w:rsidRPr="008B5940">
        <w:rPr>
          <w:rFonts w:ascii="Arial" w:eastAsia="Arial" w:hAnsi="Arial" w:cs="Arial"/>
          <w:b/>
          <w:lang w:val="en-US"/>
        </w:rPr>
        <w:t>:</w:t>
      </w:r>
      <w:r w:rsidRPr="008B5940">
        <w:rPr>
          <w:sz w:val="24"/>
          <w:lang w:val="en-US"/>
        </w:rPr>
        <w:t xml:space="preserve"> </w:t>
      </w:r>
      <w:r w:rsidRPr="008B5940">
        <w:rPr>
          <w:lang w:val="en-US"/>
        </w:rPr>
        <w:t xml:space="preserve">COVID-19, severity </w:t>
      </w:r>
      <w:r w:rsidRPr="008B5940">
        <w:rPr>
          <w:i/>
          <w:lang w:val="en-US"/>
        </w:rPr>
        <w:t>scores</w:t>
      </w:r>
      <w:r w:rsidRPr="008B5940">
        <w:rPr>
          <w:lang w:val="en-US"/>
        </w:rPr>
        <w:t>, mortality</w:t>
      </w:r>
    </w:p>
    <w:p w:rsidR="004F7046" w:rsidRPr="008B5940" w:rsidRDefault="004F7046">
      <w:pPr>
        <w:rPr>
          <w:lang w:val="en-US"/>
        </w:rPr>
        <w:sectPr w:rsidR="004F7046" w:rsidRPr="008B5940">
          <w:type w:val="continuous"/>
          <w:pgSz w:w="11906" w:h="16838"/>
          <w:pgMar w:top="1531" w:right="1701" w:bottom="1418" w:left="1701" w:header="709" w:footer="709" w:gutter="0"/>
          <w:pgNumType w:start="18"/>
          <w:cols w:num="2" w:space="720" w:equalWidth="0">
            <w:col w:w="3891" w:space="720"/>
            <w:col w:w="3891" w:space="0"/>
          </w:cols>
          <w:titlePg/>
        </w:sectPr>
      </w:pPr>
      <w:bookmarkStart w:id="2" w:name="_heading=h.l2kfg3ojf5jv" w:colFirst="0" w:colLast="0"/>
      <w:bookmarkEnd w:id="2"/>
    </w:p>
    <w:p w:rsidR="004F7046" w:rsidRDefault="00596917">
      <w:pPr>
        <w:pStyle w:val="Ttulo1"/>
      </w:pPr>
      <w:r>
        <w:t>Introducción</w:t>
      </w:r>
    </w:p>
    <w:p w:rsidR="004F7046" w:rsidRDefault="00596917">
      <w:r>
        <w:t>La infección causada por SARS-Cov-2 presenta un amplio rango de manifestaciones y se pueden estratificar clínicamente según la gravedad</w:t>
      </w:r>
      <w:r>
        <w:rPr>
          <w:vertAlign w:val="superscript"/>
        </w:rPr>
        <w:t>1</w:t>
      </w:r>
      <w:r>
        <w:t>.</w:t>
      </w:r>
    </w:p>
    <w:p w:rsidR="004F7046" w:rsidRDefault="00596917">
      <w:r>
        <w:t>El curso de la enfermedad suele ser leve o moderado (81%), sobre todo desde la aparición de las vacunas; sin embargo, también se han informado enfermedades graves (14%) y críticas</w:t>
      </w:r>
    </w:p>
    <w:p w:rsidR="004F7046" w:rsidRDefault="00596917">
      <w:r>
        <w:t>(5%). Se estima que aproximadamente el 14% de los pacientes desarrollan enfermedad respiratoria grave que requiere hospitalización y el 5% puede requerir ingreso en la unidad de cuidados intensivos (UCI), sobre todo en formas graves y críticas</w:t>
      </w:r>
      <w:r>
        <w:rPr>
          <w:vertAlign w:val="superscript"/>
        </w:rPr>
        <w:t>1</w:t>
      </w:r>
      <w:r>
        <w:t>. El retraso en el ingreso a la UCI se asocia con una mayor mortalidad, y es importante que se identifique lo antes posible a los pacientes que experimentan neumonía grave con el peor pronóstico probable.</w:t>
      </w:r>
    </w:p>
    <w:p w:rsidR="004F7046" w:rsidRDefault="00596917">
      <w:r>
        <w:t>Las puntuaciones de pronóstico constituyen herramientas útiles para el abordaje clínico de la</w:t>
      </w:r>
    </w:p>
    <w:p w:rsidR="004F7046" w:rsidRDefault="00596917">
      <w:r>
        <w:t>infección por COVID 19, por lo cual se han desarrollado sistemas para alcanzar una serie de</w:t>
      </w:r>
    </w:p>
    <w:p w:rsidR="004F7046" w:rsidRDefault="00596917">
      <w:r>
        <w:t>objetivos que incluyen: predecir la probabilidad de muerte y un curso complicado de la enfermedad, reducir el uso de costosos servicios hospitalarios de atención a pacientes con bajo riesgo de mortalidad, y reconocer la enfermedad grave lo antes posible para que se puedan brindar cuidados intensivos de manera oportuna</w:t>
      </w:r>
      <w:r>
        <w:rPr>
          <w:vertAlign w:val="superscript"/>
        </w:rPr>
        <w:t>2</w:t>
      </w:r>
      <w:r>
        <w:t>.</w:t>
      </w:r>
    </w:p>
    <w:p w:rsidR="004F7046" w:rsidRDefault="00596917">
      <w:r>
        <w:t xml:space="preserve">El </w:t>
      </w:r>
      <w:r w:rsidRPr="00AB715C">
        <w:rPr>
          <w:i/>
        </w:rPr>
        <w:t xml:space="preserve">score </w:t>
      </w:r>
      <w:r>
        <w:t>4C</w:t>
      </w:r>
      <w:r>
        <w:rPr>
          <w:vertAlign w:val="superscript"/>
        </w:rPr>
        <w:t>3</w:t>
      </w:r>
      <w:r>
        <w:t>, permite predecir la mortalidad hospitalaria y el deterioro clínico hospitalario (definido como cualquier requisito de soporte ventilatorio o cuidados intensivos, o muerte) para pacientes hospitalizados con COVID-19</w:t>
      </w:r>
      <w:r>
        <w:rPr>
          <w:vertAlign w:val="superscript"/>
        </w:rPr>
        <w:t>3</w:t>
      </w:r>
      <w:r>
        <w:t>. Algunas sociedades como la IDSA (</w:t>
      </w:r>
      <w:proofErr w:type="spellStart"/>
      <w:r>
        <w:rPr>
          <w:i/>
        </w:rPr>
        <w:t>Infectious</w:t>
      </w:r>
      <w:proofErr w:type="spellEnd"/>
      <w:r>
        <w:rPr>
          <w:i/>
        </w:rPr>
        <w:t xml:space="preserve"> </w:t>
      </w:r>
      <w:proofErr w:type="spellStart"/>
      <w:r>
        <w:rPr>
          <w:i/>
        </w:rPr>
        <w:t>Disease</w:t>
      </w:r>
      <w:proofErr w:type="spellEnd"/>
      <w:r>
        <w:rPr>
          <w:i/>
        </w:rPr>
        <w:t xml:space="preserve"> </w:t>
      </w:r>
      <w:proofErr w:type="spellStart"/>
      <w:r>
        <w:rPr>
          <w:i/>
        </w:rPr>
        <w:t>Society</w:t>
      </w:r>
      <w:proofErr w:type="spellEnd"/>
      <w:r>
        <w:rPr>
          <w:i/>
        </w:rPr>
        <w:t xml:space="preserve"> </w:t>
      </w:r>
      <w:proofErr w:type="spellStart"/>
      <w:r>
        <w:rPr>
          <w:i/>
        </w:rPr>
        <w:t>of</w:t>
      </w:r>
      <w:proofErr w:type="spellEnd"/>
      <w:r>
        <w:rPr>
          <w:i/>
        </w:rPr>
        <w:t xml:space="preserve"> </w:t>
      </w:r>
      <w:proofErr w:type="spellStart"/>
      <w:r>
        <w:rPr>
          <w:i/>
        </w:rPr>
        <w:t>America</w:t>
      </w:r>
      <w:proofErr w:type="spellEnd"/>
      <w:r>
        <w:t xml:space="preserve">), publicaron sus propias escalas para determinar el riesgo de </w:t>
      </w:r>
      <w:r>
        <w:t xml:space="preserve">progresión y mortalidad, tales como el CALL </w:t>
      </w:r>
      <w:r w:rsidRPr="00910A77">
        <w:rPr>
          <w:i/>
        </w:rPr>
        <w:t>score</w:t>
      </w:r>
      <w:r>
        <w:rPr>
          <w:vertAlign w:val="superscript"/>
        </w:rPr>
        <w:t>4</w:t>
      </w:r>
      <w:r>
        <w:t xml:space="preserve"> (</w:t>
      </w:r>
      <w:proofErr w:type="spellStart"/>
      <w:r>
        <w:rPr>
          <w:i/>
        </w:rPr>
        <w:t>Comorbidity</w:t>
      </w:r>
      <w:proofErr w:type="spellEnd"/>
      <w:r>
        <w:rPr>
          <w:i/>
        </w:rPr>
        <w:t xml:space="preserve">, Age, </w:t>
      </w:r>
      <w:proofErr w:type="spellStart"/>
      <w:r>
        <w:rPr>
          <w:i/>
        </w:rPr>
        <w:t>Lymphocyte</w:t>
      </w:r>
      <w:proofErr w:type="spellEnd"/>
      <w:r>
        <w:rPr>
          <w:i/>
        </w:rPr>
        <w:t>, LDH</w:t>
      </w:r>
      <w:r>
        <w:t>). La escala NEWS (</w:t>
      </w:r>
      <w:proofErr w:type="spellStart"/>
      <w:r>
        <w:rPr>
          <w:i/>
        </w:rPr>
        <w:t>National</w:t>
      </w:r>
      <w:proofErr w:type="spellEnd"/>
      <w:r>
        <w:rPr>
          <w:i/>
        </w:rPr>
        <w:t xml:space="preserve"> </w:t>
      </w:r>
      <w:proofErr w:type="spellStart"/>
      <w:r>
        <w:rPr>
          <w:i/>
        </w:rPr>
        <w:t>Early</w:t>
      </w:r>
      <w:proofErr w:type="spellEnd"/>
      <w:r>
        <w:rPr>
          <w:i/>
        </w:rPr>
        <w:t xml:space="preserve"> </w:t>
      </w:r>
      <w:proofErr w:type="spellStart"/>
      <w:r>
        <w:rPr>
          <w:i/>
        </w:rPr>
        <w:t>Warning</w:t>
      </w:r>
      <w:proofErr w:type="spellEnd"/>
      <w:r>
        <w:rPr>
          <w:i/>
        </w:rPr>
        <w:t xml:space="preserve"> Score</w:t>
      </w:r>
      <w:r>
        <w:t>) fue creada en Reino Unido en el año 2012 para estandarizar la atención de pacientes con enfermedad aguda a su ingreso, que posteriormente se actualizó a NEWS 2</w:t>
      </w:r>
      <w:r>
        <w:rPr>
          <w:vertAlign w:val="superscript"/>
        </w:rPr>
        <w:t>5,6</w:t>
      </w:r>
      <w:r>
        <w:t>. Esta escala asigna una puntuación a las mediciones fisiológicas registradas en la práctica habitual para ordenarlas en tres riesgos clínicos, con lo que se proporcionan recomendaciones sobre la frecuencia de la monitorización, la urgencia de la revisión clínica y los requisitos de competencia del equipo médico necesarios para llevar a cabo una respuesta inmediata y con intervenciones específicas. Asimismo, en Argentina se realizó un estudio</w:t>
      </w:r>
      <w:r>
        <w:rPr>
          <w:vertAlign w:val="superscript"/>
        </w:rPr>
        <w:t>7</w:t>
      </w:r>
      <w:r>
        <w:t xml:space="preserve"> en el cual se comparó el valor predictivo de traslado a UCI de tres </w:t>
      </w:r>
      <w:r>
        <w:rPr>
          <w:i/>
        </w:rPr>
        <w:t>scores</w:t>
      </w:r>
      <w:r>
        <w:t xml:space="preserve"> (NEWS2, NEWS-C y COVID-19 </w:t>
      </w:r>
      <w:proofErr w:type="spellStart"/>
      <w:r>
        <w:rPr>
          <w:i/>
        </w:rPr>
        <w:t>severity</w:t>
      </w:r>
      <w:proofErr w:type="spellEnd"/>
      <w:r>
        <w:rPr>
          <w:i/>
        </w:rPr>
        <w:t xml:space="preserve"> </w:t>
      </w:r>
      <w:proofErr w:type="spellStart"/>
      <w:r>
        <w:rPr>
          <w:i/>
        </w:rPr>
        <w:t>index</w:t>
      </w:r>
      <w:proofErr w:type="spellEnd"/>
      <w:r w:rsidR="00910A77">
        <w:t>). El</w:t>
      </w:r>
      <w:r>
        <w:t xml:space="preserve"> estudio concluyó que el COVID-19 </w:t>
      </w:r>
      <w:proofErr w:type="spellStart"/>
      <w:r>
        <w:rPr>
          <w:i/>
        </w:rPr>
        <w:t>severity</w:t>
      </w:r>
      <w:proofErr w:type="spellEnd"/>
      <w:r>
        <w:rPr>
          <w:i/>
        </w:rPr>
        <w:t xml:space="preserve"> </w:t>
      </w:r>
      <w:proofErr w:type="spellStart"/>
      <w:r>
        <w:rPr>
          <w:i/>
        </w:rPr>
        <w:t>index</w:t>
      </w:r>
      <w:proofErr w:type="spellEnd"/>
      <w:r>
        <w:t xml:space="preserve"> fue superior en cuanto a calibración y discriminación para predecir la transferencia a la UCI durante la hospitalización, por lo cual este sería un elemento útil para la estratificación de riesgo de estos pacientes. </w:t>
      </w:r>
    </w:p>
    <w:p w:rsidR="004F7046" w:rsidRDefault="00AB715C">
      <w:r>
        <w:rPr>
          <w:noProof/>
        </w:rPr>
        <mc:AlternateContent>
          <mc:Choice Requires="wps">
            <w:drawing>
              <wp:anchor distT="0" distB="0" distL="114300" distR="114300" simplePos="0" relativeHeight="251652096" behindDoc="0" locked="0" layoutInCell="1" hidden="0" allowOverlap="1">
                <wp:simplePos x="0" y="0"/>
                <wp:positionH relativeFrom="column">
                  <wp:posOffset>2733675</wp:posOffset>
                </wp:positionH>
                <wp:positionV relativeFrom="paragraph">
                  <wp:posOffset>2571750</wp:posOffset>
                </wp:positionV>
                <wp:extent cx="434528" cy="389452"/>
                <wp:effectExtent l="0" t="0" r="0" b="0"/>
                <wp:wrapNone/>
                <wp:docPr id="1074" name="Rectángulo 1074"/>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4F7046" w:rsidRDefault="00AB715C">
                            <w:pPr>
                              <w:jc w:val="center"/>
                              <w:textDirection w:val="btLr"/>
                            </w:pPr>
                            <w:r>
                              <w:rPr>
                                <w:b/>
                                <w:color w:val="FFFFFF"/>
                                <w:sz w:val="24"/>
                              </w:rPr>
                              <w:t>16</w:t>
                            </w:r>
                          </w:p>
                        </w:txbxContent>
                      </wps:txbx>
                      <wps:bodyPr spcFirstLastPara="1" wrap="square" lIns="91425" tIns="45675" rIns="91425" bIns="45675" anchor="t" anchorCtr="0">
                        <a:noAutofit/>
                      </wps:bodyPr>
                    </wps:wsp>
                  </a:graphicData>
                </a:graphic>
              </wp:anchor>
            </w:drawing>
          </mc:Choice>
          <mc:Fallback>
            <w:pict>
              <v:rect id="Rectángulo 1074" o:spid="_x0000_s1027" style="position:absolute;left:0;text-align:left;margin-left:215.25pt;margin-top:202.5pt;width:34.2pt;height:30.65pt;flip:x;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NxNgIAAHAEAAAOAAAAZHJzL2Uyb0RvYy54bWysVG2O0zAQ/Y/EHSz/p0m77e42arpCWwpI&#10;K6hYOMDUsRNL/sJ2m/Y4nIWLMXZKtwtISIj+sGY80+c3b2ayuDtoRfbcB2lNTcejkhJumG2kaWv6&#10;5fP61S0lIYJpQFnDa3rkgd4tX75Y9K7iE9tZ1XBPEMSEqnc17WJ0VVEE1nENYWQdNxgU1muI6Pq2&#10;aDz0iK5VMSnL66K3vnHeMh4C3q6GIF1mfCE4ix+FCDwSVVPkFvPp87lNZ7FcQNV6cJ1kJxrwDyw0&#10;SIOPnqFWEIHsvPwNSkvmbbAijpjVhRVCMp5rwGrG5S/VPHbgeK4FxQnuLFP4f7Dsw37jiWywd+XN&#10;lBIDGrv0CXX7/s20O2VJvkeZehcqzH50G3/yApqp5oPwmggl3TtEySpgXeSQRT6eReaHSBheTq+m&#10;swlOBcPQ1e0cndSEYoBJcM6H+JZbTZJRU49cMijsH0IcUn+mpPRglWzWUqns+HZ7rzzZA/Z7Vs5X&#10;k/UJ/VmaMqSv6Xw2mSEPwLETCiKa2qEQwbT5vWf/CJfAZf79CTgRW0HoBgIZIaVB5e3ONNnqODRv&#10;TEPi0aHSBreCJjJBU6I47hAaOS+CVH/PQ92UQflSd4Z+JCsetoehqQkr3Wxtc8RGB8fWEjk+QIgb&#10;8DjqY3wdxx/f/boDj1zUe4PzNR9PkzgxO9PZ9Q06/jKyvYyAYZ3FrUINB/M+5h1LlRv7ehetkLl1&#10;T1ROnHGsc/NPK5j25tLPWU8fiuUPAAAA//8DAFBLAwQUAAYACAAAACEAxgcb2+IAAAALAQAADwAA&#10;AGRycy9kb3ducmV2LnhtbEyPwU7DMBBE70j8g7VIXFDrQJuoDXEqVBVxoQjaSlydeElC43UUO236&#10;9ywnuM1on2ZnstVoW3HC3jeOFNxPIxBIpTMNVQoO++fJAoQPmoxuHaGCC3pY5ddXmU6NO9MHnnah&#10;EhxCPtUK6hC6VEpf1mi1n7oOiW9frrc6sO0raXp95nDbyocoSqTVDfGHWne4rrE87garwF+G/d3r&#10;y3bzfpSx+d4Ub8X6E5W6vRmfHkEEHMMfDL/1uTrk3KlwAxkvWgXzWRQzyiKKeRQT8+ViCaJgkSQz&#10;kHkm/2/IfwAAAP//AwBQSwECLQAUAAYACAAAACEAtoM4kv4AAADhAQAAEwAAAAAAAAAAAAAAAAAA&#10;AAAAW0NvbnRlbnRfVHlwZXNdLnhtbFBLAQItABQABgAIAAAAIQA4/SH/1gAAAJQBAAALAAAAAAAA&#10;AAAAAAAAAC8BAABfcmVscy8ucmVsc1BLAQItABQABgAIAAAAIQByB2NxNgIAAHAEAAAOAAAAAAAA&#10;AAAAAAAAAC4CAABkcnMvZTJvRG9jLnhtbFBLAQItABQABgAIAAAAIQDGBxvb4gAAAAsBAAAPAAAA&#10;AAAAAAAAAAAAAJAEAABkcnMvZG93bnJldi54bWxQSwUGAAAAAAQABADzAAAAnwUAAAAA&#10;" fillcolor="#509d2f">
                <v:stroke startarrowwidth="narrow" startarrowlength="short" endarrowwidth="narrow" endarrowlength="short" joinstyle="round"/>
                <v:textbox inset="2.53958mm,1.26875mm,2.53958mm,1.26875mm">
                  <w:txbxContent>
                    <w:p w:rsidR="004F7046" w:rsidRDefault="00AB715C">
                      <w:pPr>
                        <w:jc w:val="center"/>
                        <w:textDirection w:val="btLr"/>
                      </w:pPr>
                      <w:r>
                        <w:rPr>
                          <w:b/>
                          <w:color w:val="FFFFFF"/>
                          <w:sz w:val="24"/>
                        </w:rPr>
                        <w:t>16</w:t>
                      </w:r>
                    </w:p>
                  </w:txbxContent>
                </v:textbox>
              </v:rect>
            </w:pict>
          </mc:Fallback>
        </mc:AlternateContent>
      </w:r>
      <w:r w:rsidR="00596917">
        <w:t>Sin embargo, si bien existen publicaciones sobre escalas pronósticas en pacientes con infección por COVID-19, aún no resulta del todo claro cuál de ellas es más precisa en evaluar la gravedad en cuanto a mortalidad y necesidad de ingreso en unidad crítica en pacientes hospitalizados</w:t>
      </w:r>
      <w:r w:rsidR="00596917">
        <w:rPr>
          <w:vertAlign w:val="superscript"/>
        </w:rPr>
        <w:t>8</w:t>
      </w:r>
      <w:r w:rsidR="00596917">
        <w:t>. Por otra parte, la evaluación del rendimiento de estas puntuaciones en diferentes poblaciones contribuye a la mejora continua de la atención sanitaria mediante la estandarización de los cuidados y la unificación de criterios de monitorización e intervención, con la consiguiente mejora de los indicadores de salud</w:t>
      </w:r>
      <w:r w:rsidR="00596917">
        <w:rPr>
          <w:vertAlign w:val="superscript"/>
        </w:rPr>
        <w:t>7,8</w:t>
      </w:r>
      <w:r w:rsidR="00596917">
        <w:t xml:space="preserve">. </w:t>
      </w:r>
    </w:p>
    <w:p w:rsidR="004F7046" w:rsidRDefault="00596917">
      <w:r>
        <w:lastRenderedPageBreak/>
        <w:t xml:space="preserve">El objetivo de este estudio fue evaluar la utilidad de los </w:t>
      </w:r>
      <w:r>
        <w:rPr>
          <w:i/>
        </w:rPr>
        <w:t>scores</w:t>
      </w:r>
      <w:r>
        <w:t xml:space="preserve"> pronósticos 4C, CALL, y NEWS2 para identificar pacientes con enfermedad grave, riesgo de ingreso a unidades críticas y mortalidad intrahospitalaria, en el contexto de pacientes con infección por COVID-19 hospitalizados en sala común de la Clínica Universitaria Reina Fabiola de la ciudad de Córdoba.</w:t>
      </w:r>
    </w:p>
    <w:p w:rsidR="004F7046" w:rsidRDefault="00596917">
      <w:pPr>
        <w:pStyle w:val="Ttulo1"/>
      </w:pPr>
      <w:r>
        <w:t xml:space="preserve">Material y método </w:t>
      </w:r>
    </w:p>
    <w:p w:rsidR="004F7046" w:rsidRDefault="00596917">
      <w:r>
        <w:t>Se trata de un estudio observacional, retrospectivo, en el cual se incluyeron pacientes  adultos, de ambos sexos, con diagnóstico de infección por SARS-Cov2 confirmado mediante test rápido de detección de antígeno o prueba de reacción en cadena de la polimerasa (rRT-PCR) realizado a partir de hisopado nasofaríngeo, ingresados en sala común en el período que abarca desde el primero de enero al 31 de diciembre de 2020. Se excluyeron a los pacientes con limitación de esfuerzo terapéutico o directivas anticipadas de no reanimación o traslado a unidad crítica. Se analizaron las siguientes variables: edad, sexo, presencia de comorbilidades de acuerdo al índice de Charlson</w:t>
      </w:r>
      <w:r>
        <w:rPr>
          <w:vertAlign w:val="superscript"/>
        </w:rPr>
        <w:t>9</w:t>
      </w:r>
      <w:r>
        <w:t>, diagnóstico de obesidad de acuerdo al índice de masa corporal (IMC)</w:t>
      </w:r>
      <w:r>
        <w:rPr>
          <w:vertAlign w:val="superscript"/>
        </w:rPr>
        <w:t>10</w:t>
      </w:r>
      <w:r>
        <w:t>, categorización clínica de acuerdo a la severidad de la enfermedad según los criterios de manejo clínico de OMS</w:t>
      </w:r>
      <w:r>
        <w:rPr>
          <w:vertAlign w:val="superscript"/>
        </w:rPr>
        <w:t>1</w:t>
      </w:r>
      <w:r>
        <w:t xml:space="preserve">, requerimiento de traslado a Unidad de Cuidados Intensivos (UTI) y mortalidad intrahospitalaria. Se calcularon los </w:t>
      </w:r>
      <w:r>
        <w:rPr>
          <w:i/>
        </w:rPr>
        <w:t>scores</w:t>
      </w:r>
      <w:r>
        <w:t xml:space="preserve"> 4C</w:t>
      </w:r>
      <w:r>
        <w:rPr>
          <w:vertAlign w:val="superscript"/>
        </w:rPr>
        <w:t>3</w:t>
      </w:r>
      <w:r>
        <w:t>, CALL</w:t>
      </w:r>
      <w:r>
        <w:rPr>
          <w:vertAlign w:val="superscript"/>
        </w:rPr>
        <w:t>4</w:t>
      </w:r>
      <w:r>
        <w:t xml:space="preserve"> y NEWS2</w:t>
      </w:r>
      <w:r>
        <w:rPr>
          <w:vertAlign w:val="superscript"/>
        </w:rPr>
        <w:t xml:space="preserve">5-7 </w:t>
      </w:r>
      <w:r>
        <w:t>y su correlación con la necesidad de traslado a unidad de cuidados críticos y la mortalidad intrahospitalaria.</w:t>
      </w:r>
    </w:p>
    <w:p w:rsidR="004F7046" w:rsidRDefault="00596917">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Definición de términos</w:t>
      </w:r>
    </w:p>
    <w:p w:rsidR="004F7046" w:rsidRDefault="00852BC5">
      <w:sdt>
        <w:sdtPr>
          <w:tag w:val="goog_rdk_0"/>
          <w:id w:val="-1038115321"/>
        </w:sdtPr>
        <w:sdtEndPr/>
        <w:sdtContent>
          <w:r w:rsidR="00596917">
            <w:rPr>
              <w:rFonts w:ascii="Arial Unicode MS" w:eastAsia="Arial Unicode MS" w:hAnsi="Arial Unicode MS" w:cs="Arial Unicode MS"/>
            </w:rPr>
            <w:t>➢</w:t>
          </w:r>
        </w:sdtContent>
      </w:sdt>
      <w:r w:rsidR="00596917">
        <w:t xml:space="preserve"> </w:t>
      </w:r>
      <w:r w:rsidR="00596917">
        <w:rPr>
          <w:u w:val="single"/>
        </w:rPr>
        <w:t>Índice de masa corporal</w:t>
      </w:r>
      <w:r w:rsidR="00596917">
        <w:rPr>
          <w:u w:val="single"/>
          <w:vertAlign w:val="superscript"/>
        </w:rPr>
        <w:t>10</w:t>
      </w:r>
      <w:r w:rsidR="00596917">
        <w:t>: valor que se calcula con fórmula de peso/talla</w:t>
      </w:r>
      <w:r w:rsidR="00596917">
        <w:rPr>
          <w:vertAlign w:val="superscript"/>
        </w:rPr>
        <w:t>2</w:t>
      </w:r>
      <w:r w:rsidR="00596917">
        <w:t>, se describe en Kg/m</w:t>
      </w:r>
      <w:r w:rsidR="00596917">
        <w:rPr>
          <w:vertAlign w:val="superscript"/>
        </w:rPr>
        <w:t>2</w:t>
      </w:r>
      <w:r w:rsidR="00596917">
        <w:t>.  La obesidad se define como IMC mayor a 30 Kg/m</w:t>
      </w:r>
      <w:r w:rsidR="00596917">
        <w:rPr>
          <w:vertAlign w:val="superscript"/>
        </w:rPr>
        <w:t>2</w:t>
      </w:r>
      <w:r w:rsidR="00596917">
        <w:t xml:space="preserve">. </w:t>
      </w:r>
    </w:p>
    <w:p w:rsidR="004F7046" w:rsidRDefault="00852BC5">
      <w:sdt>
        <w:sdtPr>
          <w:tag w:val="goog_rdk_1"/>
          <w:id w:val="1446645687"/>
        </w:sdtPr>
        <w:sdtEndPr/>
        <w:sdtContent>
          <w:r w:rsidR="00596917">
            <w:rPr>
              <w:rFonts w:ascii="Arial Unicode MS" w:eastAsia="Arial Unicode MS" w:hAnsi="Arial Unicode MS" w:cs="Arial Unicode MS"/>
            </w:rPr>
            <w:t>➢</w:t>
          </w:r>
        </w:sdtContent>
      </w:sdt>
      <w:r w:rsidR="00596917">
        <w:t xml:space="preserve"> </w:t>
      </w:r>
      <w:r w:rsidR="00596917">
        <w:rPr>
          <w:u w:val="single"/>
        </w:rPr>
        <w:t>Categorización de acuerdo a la gravedad de enfermedad según los criterios de manejo clínico de OMS</w:t>
      </w:r>
      <w:r w:rsidR="00596917">
        <w:rPr>
          <w:u w:val="single"/>
          <w:vertAlign w:val="superscript"/>
        </w:rPr>
        <w:t>1</w:t>
      </w:r>
      <w:r w:rsidR="00596917">
        <w:t xml:space="preserve">: clasifica a los pacientes en 4 grupos según gravedad (leve, moderado, grave  y crítico). </w:t>
      </w:r>
    </w:p>
    <w:p w:rsidR="004F7046" w:rsidRDefault="00852BC5">
      <w:sdt>
        <w:sdtPr>
          <w:tag w:val="goog_rdk_2"/>
          <w:id w:val="716751915"/>
        </w:sdtPr>
        <w:sdtEndPr/>
        <w:sdtContent>
          <w:r w:rsidR="00596917">
            <w:rPr>
              <w:rFonts w:ascii="Arial Unicode MS" w:eastAsia="Arial Unicode MS" w:hAnsi="Arial Unicode MS" w:cs="Arial Unicode MS"/>
            </w:rPr>
            <w:t>➢</w:t>
          </w:r>
        </w:sdtContent>
      </w:sdt>
      <w:r w:rsidR="00596917">
        <w:t xml:space="preserve"> </w:t>
      </w:r>
      <w:r w:rsidR="00596917">
        <w:rPr>
          <w:u w:val="single"/>
        </w:rPr>
        <w:t>Categorización de acuerdo a score 4C</w:t>
      </w:r>
      <w:r w:rsidR="00596917">
        <w:rPr>
          <w:u w:val="single"/>
          <w:vertAlign w:val="superscript"/>
        </w:rPr>
        <w:t>3</w:t>
      </w:r>
      <w:r w:rsidR="00596917">
        <w:t xml:space="preserve">: Este score fue desarrollado para predecir la  mortalidad hospitalaria o el deterioro clínico (definido como cualquier requisito de  soporte ventilatorio o cuidados intensivos, o muerte) para pacientes hospitalizados con  COVID-19. Utiliza parámetros clínicos y de laboratorio tales como: </w:t>
      </w:r>
      <w:r w:rsidR="00596917">
        <w:t xml:space="preserve">edad, sexo, número de comorbilidades, frecuencia respiratoria, saturación de oxígeno aire ambiente, escala de </w:t>
      </w:r>
      <w:proofErr w:type="spellStart"/>
      <w:r w:rsidR="00596917">
        <w:t>glasgow</w:t>
      </w:r>
      <w:proofErr w:type="spellEnd"/>
      <w:r w:rsidR="00596917">
        <w:t xml:space="preserve">, urea, y </w:t>
      </w:r>
      <w:proofErr w:type="spellStart"/>
      <w:r w:rsidR="00596917">
        <w:t>proteina</w:t>
      </w:r>
      <w:proofErr w:type="spellEnd"/>
      <w:r w:rsidR="00596917">
        <w:t xml:space="preserve"> C reactiva (PCR). De acuerdo con los hallazgos, se asignan puntos en una escala del 0 al 21, con grupos de riesgo definidos como: Bajo (0-3); Intermedio (4- 8); Alto (9-14); Muy alto (&gt;15).  </w:t>
      </w:r>
    </w:p>
    <w:p w:rsidR="004F7046" w:rsidRDefault="00852BC5">
      <w:sdt>
        <w:sdtPr>
          <w:tag w:val="goog_rdk_3"/>
          <w:id w:val="-938273505"/>
        </w:sdtPr>
        <w:sdtEndPr/>
        <w:sdtContent>
          <w:r w:rsidR="00596917">
            <w:rPr>
              <w:rFonts w:ascii="Arial Unicode MS" w:eastAsia="Arial Unicode MS" w:hAnsi="Arial Unicode MS" w:cs="Arial Unicode MS"/>
            </w:rPr>
            <w:t>➢</w:t>
          </w:r>
        </w:sdtContent>
      </w:sdt>
      <w:r w:rsidR="00596917">
        <w:t xml:space="preserve"> </w:t>
      </w:r>
      <w:r w:rsidR="00596917">
        <w:rPr>
          <w:u w:val="single"/>
        </w:rPr>
        <w:t>Categorización de acuerdo a score CALL</w:t>
      </w:r>
      <w:r w:rsidR="00596917">
        <w:rPr>
          <w:u w:val="single"/>
          <w:vertAlign w:val="superscript"/>
        </w:rPr>
        <w:t>4</w:t>
      </w:r>
      <w:r w:rsidR="00596917">
        <w:rPr>
          <w:u w:val="single"/>
        </w:rPr>
        <w:t>:</w:t>
      </w:r>
      <w:r w:rsidR="00596917">
        <w:t xml:space="preserve"> Esta escala se utiliza como instrumento  predictor de mortalidad en pacientes con COVID-19 y permite estimar el riesgo de  progresión a enfermedad grave por medio de la evaluación clínica y analítica mediante la puntuación de los parámetros: comorbilidad, edad, linfocitos y LDH. Estratifica a los  pacientes en 3 grupos: Bajo riesgo (1-4 puntos); Riesgo intermedio (5-6 puntos); Alto  riesgo (&gt;7 puntos).  </w:t>
      </w:r>
    </w:p>
    <w:p w:rsidR="004F7046" w:rsidRDefault="00852BC5">
      <w:sdt>
        <w:sdtPr>
          <w:tag w:val="goog_rdk_4"/>
          <w:id w:val="-938696914"/>
        </w:sdtPr>
        <w:sdtEndPr/>
        <w:sdtContent>
          <w:r w:rsidR="00596917">
            <w:rPr>
              <w:rFonts w:ascii="Arial Unicode MS" w:eastAsia="Arial Unicode MS" w:hAnsi="Arial Unicode MS" w:cs="Arial Unicode MS"/>
            </w:rPr>
            <w:t>➢</w:t>
          </w:r>
        </w:sdtContent>
      </w:sdt>
      <w:r w:rsidR="00596917">
        <w:rPr>
          <w:u w:val="single"/>
        </w:rPr>
        <w:t>Categorización de acuerdo a score NEWS2</w:t>
      </w:r>
      <w:r w:rsidR="00596917">
        <w:rPr>
          <w:u w:val="single"/>
          <w:vertAlign w:val="superscript"/>
        </w:rPr>
        <w:t>5,7</w:t>
      </w:r>
      <w:r w:rsidR="00596917">
        <w:t>: este score fue desarrollado para mejorar  la detección del deterioro en pacientes con enfermedades agudas. Se basa en la  puntuación de seis variables clínicas: frecuencia respiratoria, saturación de oxígeno, presión arterial sistólica, frecuencia del pulso, nivel de conciencia, temperatura corporal y se añaden dos puntos para los pacientes que requieran tratamiento con oxígeno suplementario. Permite la estratificación de los pacientes en tres grupos de riesgo: Bajo (0-4 puntos); Intermedio (5-6 puntos); Alto (&gt;7 puntos).</w:t>
      </w:r>
    </w:p>
    <w:p w:rsidR="004F7046" w:rsidRDefault="00852BC5">
      <w:sdt>
        <w:sdtPr>
          <w:tag w:val="goog_rdk_5"/>
          <w:id w:val="-1818677959"/>
        </w:sdtPr>
        <w:sdtEndPr/>
        <w:sdtContent>
          <w:r w:rsidR="00596917">
            <w:rPr>
              <w:rFonts w:ascii="Arial Unicode MS" w:eastAsia="Arial Unicode MS" w:hAnsi="Arial Unicode MS" w:cs="Arial Unicode MS"/>
            </w:rPr>
            <w:t>➢</w:t>
          </w:r>
        </w:sdtContent>
      </w:sdt>
      <w:r w:rsidR="00596917">
        <w:t xml:space="preserve"> </w:t>
      </w:r>
      <w:r w:rsidR="00596917">
        <w:rPr>
          <w:u w:val="single"/>
        </w:rPr>
        <w:t>Índice de comorbilidades de Charlson</w:t>
      </w:r>
      <w:r w:rsidR="00596917">
        <w:rPr>
          <w:u w:val="single"/>
          <w:vertAlign w:val="superscript"/>
        </w:rPr>
        <w:t>9</w:t>
      </w:r>
      <w:r w:rsidR="00596917">
        <w:t xml:space="preserve">: es un sistema de evaluación que consta de 19  comorbilidades, con un puntaje mínimo de 0 y un puntaje máximo de 37, que se ha  comprobado que influyen de una forma concreta en la esperanza de vida del sujeto a  los 10 años. </w:t>
      </w:r>
    </w:p>
    <w:p w:rsidR="004F7046" w:rsidRDefault="00596917">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Análisis estadístico</w:t>
      </w:r>
    </w:p>
    <w:p w:rsidR="004F7046" w:rsidRDefault="007F4404">
      <w:r>
        <w:rPr>
          <w:noProof/>
        </w:rPr>
        <mc:AlternateContent>
          <mc:Choice Requires="wps">
            <w:drawing>
              <wp:anchor distT="0" distB="0" distL="114300" distR="114300" simplePos="0" relativeHeight="251653120" behindDoc="0" locked="0" layoutInCell="1" hidden="0" allowOverlap="1">
                <wp:simplePos x="0" y="0"/>
                <wp:positionH relativeFrom="column">
                  <wp:posOffset>2770632</wp:posOffset>
                </wp:positionH>
                <wp:positionV relativeFrom="paragraph">
                  <wp:posOffset>2894076</wp:posOffset>
                </wp:positionV>
                <wp:extent cx="434528" cy="389452"/>
                <wp:effectExtent l="0" t="0" r="0" b="0"/>
                <wp:wrapNone/>
                <wp:docPr id="1069" name="Rectángulo 1069"/>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4F7046" w:rsidRDefault="0075655E">
                            <w:pPr>
                              <w:jc w:val="center"/>
                              <w:textDirection w:val="btLr"/>
                            </w:pPr>
                            <w:r>
                              <w:rPr>
                                <w:b/>
                                <w:color w:val="FFFFFF"/>
                                <w:sz w:val="24"/>
                              </w:rPr>
                              <w:t>17</w:t>
                            </w:r>
                          </w:p>
                        </w:txbxContent>
                      </wps:txbx>
                      <wps:bodyPr spcFirstLastPara="1" wrap="square" lIns="91425" tIns="45675" rIns="91425" bIns="45675" anchor="t" anchorCtr="0">
                        <a:noAutofit/>
                      </wps:bodyPr>
                    </wps:wsp>
                  </a:graphicData>
                </a:graphic>
              </wp:anchor>
            </w:drawing>
          </mc:Choice>
          <mc:Fallback>
            <w:pict>
              <v:rect id="Rectángulo 1069" o:spid="_x0000_s1028" style="position:absolute;left:0;text-align:left;margin-left:218.15pt;margin-top:227.9pt;width:34.2pt;height:30.65pt;flip:x;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m6NgIAAHAEAAAOAAAAZHJzL2Uyb0RvYy54bWysVG2O0zAQ/Y/EHSz/p0m77bKNmq7QlgLS&#10;CioWDjB17MSSv7DdJj0OZ+FiO3ZLtwtISIj+sGY80+c3b2ayuB20Invug7SmpuNRSQk3zDbStDX9&#10;+mX96oaSEME0oKzhNT3wQG+XL18selfxie2sargnCGJC1buadjG6qigC67iGMLKOGwwK6zVEdH1b&#10;NB56RNeqmJTlddFb3zhvGQ8Bb1fHIF1mfCE4i5+ECDwSVVPkFvPp87lNZ7FcQNV6cJ1kJxrwDyw0&#10;SIOPnqFWEIHsvPwNSkvmbbAijpjVhRVCMp5rwGrG5S/VPHTgeK4FxQnuLFP4f7Ds437jiWywd+X1&#10;nBIDGrv0GXX78d20O2VJvkeZehcqzH5wG3/yApqp5kF4TYSS7j2iZBWwLjJkkQ9nkfkQCcPL6dV0&#10;NsGpYBi6upmjk5pQHGESnPMhvuNWk2TU1COXDAr7+xCPqT9TUnqwSjZrqVR2fLu9U57sAfs9K+er&#10;yfqE/ixNGdLXdD6bzJAH4NgJBRFN7VCIYNr83rN/hEvgMv/+BJyIrSB0RwIZIaVB5e3ONNnqODRv&#10;TUPiwaHSBreCJjJBU6I47hAaOS+CVH/PQ92UQflSd479SFYctkNuatY23Wxtc8BGB8fWEjneQ4gb&#10;8DjqY3wdxx/f/bYDj1zUB4PzNR9PkzgxO9PZ9Wt0/GVkexkBwzqLW4UaHs27mHcsVW7sm120QubW&#10;PVE5ccaxzs0/rWDam0s/Zz19KJaPAAAA//8DAFBLAwQUAAYACAAAACEA4mCOS+IAAAALAQAADwAA&#10;AGRycy9kb3ducmV2LnhtbEyPwU7DMBBE70j8g7VIXFDrhDYtCnEqVBVxoQjaSlydeElC43UUO236&#10;9ywnuM1on2ZnstVoW3HC3jeOFMTTCARS6UxDlYLD/nnyAMIHTUa3jlDBBT2s8uurTKfGnekDT7tQ&#10;CQ4hn2oFdQhdKqUva7TaT12HxLcv11sd2PaVNL0+c7ht5X0ULaTVDfGHWne4rrE87garwF+G/d3r&#10;y3bzfpSJ+d4Ub8X6E5W6vRmfHkEEHMMfDL/1uTrk3KlwAxkvWgXz2WLGKIsk4Q1MJNF8CaJgES9j&#10;kHkm/2/IfwAAAP//AwBQSwECLQAUAAYACAAAACEAtoM4kv4AAADhAQAAEwAAAAAAAAAAAAAAAAAA&#10;AAAAW0NvbnRlbnRfVHlwZXNdLnhtbFBLAQItABQABgAIAAAAIQA4/SH/1gAAAJQBAAALAAAAAAAA&#10;AAAAAAAAAC8BAABfcmVscy8ucmVsc1BLAQItABQABgAIAAAAIQDE3um6NgIAAHAEAAAOAAAAAAAA&#10;AAAAAAAAAC4CAABkcnMvZTJvRG9jLnhtbFBLAQItABQABgAIAAAAIQDiYI5L4gAAAAsBAAAPAAAA&#10;AAAAAAAAAAAAAJAEAABkcnMvZG93bnJldi54bWxQSwUGAAAAAAQABADzAAAAnwUAAAAA&#10;" fillcolor="#509d2f">
                <v:stroke startarrowwidth="narrow" startarrowlength="short" endarrowwidth="narrow" endarrowlength="short" joinstyle="round"/>
                <v:textbox inset="2.53958mm,1.26875mm,2.53958mm,1.26875mm">
                  <w:txbxContent>
                    <w:p w:rsidR="004F7046" w:rsidRDefault="0075655E">
                      <w:pPr>
                        <w:jc w:val="center"/>
                        <w:textDirection w:val="btLr"/>
                      </w:pPr>
                      <w:r>
                        <w:rPr>
                          <w:b/>
                          <w:color w:val="FFFFFF"/>
                          <w:sz w:val="24"/>
                        </w:rPr>
                        <w:t>17</w:t>
                      </w:r>
                    </w:p>
                  </w:txbxContent>
                </v:textbox>
              </v:rect>
            </w:pict>
          </mc:Fallback>
        </mc:AlternateContent>
      </w:r>
      <w:r w:rsidR="00596917">
        <w:t xml:space="preserve">Para las variables cuantitativas se determinaron las medidas centrales y de dispersión (desviación estándar, DS), mientras que las variables cualitativas se presentan como frecuencias y porcentajes. La utilidad de las escalas se determinó mediante el análisis de las curvas </w:t>
      </w:r>
      <w:r w:rsidR="00596917">
        <w:rPr>
          <w:i/>
        </w:rPr>
        <w:t>Receiver</w:t>
      </w:r>
      <w:r w:rsidR="00596917">
        <w:t xml:space="preserve"> </w:t>
      </w:r>
      <w:proofErr w:type="spellStart"/>
      <w:r w:rsidR="00596917">
        <w:rPr>
          <w:i/>
        </w:rPr>
        <w:t>Operating</w:t>
      </w:r>
      <w:proofErr w:type="spellEnd"/>
      <w:r w:rsidR="00596917">
        <w:rPr>
          <w:i/>
        </w:rPr>
        <w:t xml:space="preserve"> </w:t>
      </w:r>
      <w:proofErr w:type="spellStart"/>
      <w:r w:rsidR="00596917">
        <w:rPr>
          <w:i/>
        </w:rPr>
        <w:t>Characteristic</w:t>
      </w:r>
      <w:proofErr w:type="spellEnd"/>
      <w:r w:rsidR="00596917">
        <w:rPr>
          <w:i/>
        </w:rPr>
        <w:t xml:space="preserve"> (ROC)</w:t>
      </w:r>
      <w:sdt>
        <w:sdtPr>
          <w:tag w:val="goog_rdk_6"/>
          <w:id w:val="1606462422"/>
        </w:sdtPr>
        <w:sdtEndPr/>
        <w:sdtContent>
          <w:r w:rsidR="00596917" w:rsidRPr="007F4404">
            <w:rPr>
              <w:rFonts w:eastAsia="Gungsuh"/>
            </w:rPr>
            <w:t>, calculando el área bajo la curva de las diferentes escalas con sus intervalos de confianza al 95%, así como también se realizó el cálculo de la sensibilidad, la especificidad, el valor predictivo positivo (VPP) y el valor predictivo negativo (VPN) utilizando tablas de  2x2. Se consideró que un área bajo la curva ≥0,8 aportaba una discriminación excelente</w:t>
          </w:r>
        </w:sdtContent>
      </w:sdt>
      <w:r w:rsidR="00596917" w:rsidRPr="007F4404">
        <w:rPr>
          <w:vertAlign w:val="superscript"/>
        </w:rPr>
        <w:t>11</w:t>
      </w:r>
      <w:r w:rsidR="00596917">
        <w:t>.</w:t>
      </w:r>
    </w:p>
    <w:p w:rsidR="004F7046" w:rsidRDefault="00596917">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lastRenderedPageBreak/>
        <w:t>Consideraciones éticas</w:t>
      </w:r>
    </w:p>
    <w:p w:rsidR="004F7046" w:rsidRDefault="00596917" w:rsidP="007F4404">
      <w:r>
        <w:t>El trabajo fue evaluado por la Secretaría de Investigación de la Facultad de  Ciencias de la Salud de la UCC. El mismo se rige bajo las normas de la declaración de  Helsinki, la guía de buenas prácticas clínicas de la ANMAT, la ley nacional 25.326/00 de protección de los datos personales (Ley Habeas Data) y la ley provincial 9694/09 del sistema  de evaluación, registro y fiscalización de las investigaciones en salud.</w:t>
      </w:r>
    </w:p>
    <w:p w:rsidR="004F7046" w:rsidRDefault="00596917">
      <w:pPr>
        <w:pStyle w:val="Ttulo1"/>
      </w:pPr>
      <w:r>
        <w:t>Resultados</w:t>
      </w:r>
    </w:p>
    <w:p w:rsidR="004F7046" w:rsidRDefault="00596917">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 xml:space="preserve">Caracterización de la población </w:t>
      </w:r>
    </w:p>
    <w:p w:rsidR="004F7046" w:rsidRDefault="00596917">
      <w:r>
        <w:t xml:space="preserve">Se incluyeron en el estudio un total de 113 pacientes. La media de edad (DS) fue de 56.61 (14.61) años. El grupo de pacientes estuvo conformado en su mayoría por hombres (76 individuos, correspondientes al 67,9% del total). Se observaron 60 (53.6%) pacientes con diagnóstico de obesidad. La puntuación media (DS) de la población de acuerdo al score de </w:t>
      </w:r>
      <w:proofErr w:type="spellStart"/>
      <w:r>
        <w:t>Charlson</w:t>
      </w:r>
      <w:proofErr w:type="spellEnd"/>
      <w:r>
        <w:t xml:space="preserve"> fue de 2.28 (2.14) puntos, lo cual se corresponde con el subgrupo de “comorbilidad baja”. En relación a la categorización clínica de enfermedad por infección por COVID19 de acuerdo a la gravedad, se observó que la mayoría de los pacientes manifestaron una condición clínica severa (76,99%). Por otra parte, del total de pacientes estudiados, 48 (42.9%) fueron ingresados a UTI mientras que 22 (19.6%) fueron sometidos a asistencia respiratoria mecánica (ARM). Finalmente, se observó un total de 18 (16.1%) óbitos en el ámbito de internación. Las características demográficas y clínicas de los pacientes se encuentran descritas en la Tabla 1.</w:t>
      </w:r>
    </w:p>
    <w:p w:rsidR="004F7046" w:rsidRDefault="00596917">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Puntuación de acuerdo a escalas 4C, CALL, NEWS 2</w:t>
      </w:r>
    </w:p>
    <w:p w:rsidR="004F7046" w:rsidRDefault="00596917">
      <w:r>
        <w:t>La puntuación media (DS) en la escala de 4C fue de 3.86 (2.81) puntos, de los cuales 68 (60.7%) de los pacientes fueron categorizados dentro del subgrupo de “Riesgo Medio”.  Estos datos se muestran en la Figura 1.</w:t>
      </w:r>
    </w:p>
    <w:p w:rsidR="004F7046" w:rsidRDefault="00596917">
      <w:r>
        <w:t>La puntuación media (DS) en la escala CALL fue de 8.87 (2.75) puntos, de los cuales 83 (74.1%) de los pacientes fueron categorizados dentro del subgrupo de “Riesgo Alto”.  Estos datos se muestran en la Figura 2.</w:t>
      </w:r>
    </w:p>
    <w:p w:rsidR="004F7046" w:rsidRDefault="00596917">
      <w:r>
        <w:t xml:space="preserve">La puntuación media (DS) en la escala NEWS 2 fue de 4.45 (2.73) puntos, de los cuales 54 (48.2%) de los pacientes fueron categorizados </w:t>
      </w:r>
      <w:r>
        <w:t>dentro del subgrupo de “Riesgo Bajo”.  Estos datos se muestran en la Figura 3.</w:t>
      </w:r>
    </w:p>
    <w:p w:rsidR="004F7046" w:rsidRDefault="004F7046"/>
    <w:p w:rsidR="004F7046" w:rsidRDefault="00596917">
      <w:pPr>
        <w:pBdr>
          <w:top w:val="nil"/>
          <w:left w:val="nil"/>
          <w:bottom w:val="nil"/>
          <w:right w:val="nil"/>
          <w:between w:val="nil"/>
        </w:pBdr>
        <w:rPr>
          <w:color w:val="000000"/>
          <w:sz w:val="18"/>
          <w:szCs w:val="18"/>
        </w:rPr>
      </w:pPr>
      <w:r>
        <w:rPr>
          <w:b/>
          <w:color w:val="000000"/>
          <w:sz w:val="18"/>
          <w:szCs w:val="18"/>
        </w:rPr>
        <w:t>Tabla 1.</w:t>
      </w:r>
      <w:r>
        <w:rPr>
          <w:color w:val="000000"/>
          <w:sz w:val="18"/>
          <w:szCs w:val="18"/>
        </w:rPr>
        <w:t xml:space="preserve"> Características demográficas y clínicas en pacientes con neumonía por COVID-19</w:t>
      </w:r>
    </w:p>
    <w:p w:rsidR="004F7046" w:rsidRDefault="00596917">
      <w:r>
        <w:rPr>
          <w:noProof/>
        </w:rPr>
        <w:drawing>
          <wp:inline distT="0" distB="0" distL="0" distR="0">
            <wp:extent cx="2471420" cy="2463165"/>
            <wp:effectExtent l="0" t="0" r="0" b="0"/>
            <wp:docPr id="10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2471420" cy="2463165"/>
                    </a:xfrm>
                    <a:prstGeom prst="rect">
                      <a:avLst/>
                    </a:prstGeom>
                    <a:ln/>
                  </pic:spPr>
                </pic:pic>
              </a:graphicData>
            </a:graphic>
          </wp:inline>
        </w:drawing>
      </w:r>
    </w:p>
    <w:p w:rsidR="004F7046" w:rsidRDefault="004F7046"/>
    <w:p w:rsidR="004F7046" w:rsidRDefault="00596917">
      <w:r>
        <w:rPr>
          <w:noProof/>
        </w:rPr>
        <w:drawing>
          <wp:inline distT="0" distB="0" distL="0" distR="0">
            <wp:extent cx="2471420" cy="1301115"/>
            <wp:effectExtent l="0" t="0" r="0" b="0"/>
            <wp:docPr id="10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2471420" cy="1301115"/>
                    </a:xfrm>
                    <a:prstGeom prst="rect">
                      <a:avLst/>
                    </a:prstGeom>
                    <a:ln/>
                  </pic:spPr>
                </pic:pic>
              </a:graphicData>
            </a:graphic>
          </wp:inline>
        </w:drawing>
      </w:r>
    </w:p>
    <w:p w:rsidR="004F7046" w:rsidRDefault="00596917">
      <w:pPr>
        <w:pBdr>
          <w:top w:val="nil"/>
          <w:left w:val="nil"/>
          <w:bottom w:val="nil"/>
          <w:right w:val="nil"/>
          <w:between w:val="nil"/>
        </w:pBdr>
        <w:rPr>
          <w:color w:val="000000"/>
          <w:sz w:val="18"/>
          <w:szCs w:val="18"/>
        </w:rPr>
      </w:pPr>
      <w:r>
        <w:rPr>
          <w:b/>
          <w:color w:val="000000"/>
          <w:sz w:val="18"/>
          <w:szCs w:val="18"/>
        </w:rPr>
        <w:t>Figura 1.</w:t>
      </w:r>
      <w:r>
        <w:rPr>
          <w:color w:val="000000"/>
          <w:sz w:val="18"/>
          <w:szCs w:val="18"/>
        </w:rPr>
        <w:t xml:space="preserve"> Distribución de los pacientes de acuerdo a la escala 4C.</w:t>
      </w:r>
    </w:p>
    <w:p w:rsidR="004F7046" w:rsidRDefault="004F7046">
      <w:pPr>
        <w:pBdr>
          <w:top w:val="nil"/>
          <w:left w:val="nil"/>
          <w:bottom w:val="nil"/>
          <w:right w:val="nil"/>
          <w:between w:val="nil"/>
        </w:pBdr>
        <w:rPr>
          <w:color w:val="000000"/>
          <w:sz w:val="18"/>
          <w:szCs w:val="18"/>
        </w:rPr>
      </w:pPr>
    </w:p>
    <w:p w:rsidR="004F7046" w:rsidRDefault="00596917">
      <w:pPr>
        <w:pBdr>
          <w:top w:val="nil"/>
          <w:left w:val="nil"/>
          <w:bottom w:val="nil"/>
          <w:right w:val="nil"/>
          <w:between w:val="nil"/>
        </w:pBdr>
        <w:rPr>
          <w:color w:val="000000"/>
          <w:sz w:val="18"/>
          <w:szCs w:val="18"/>
        </w:rPr>
      </w:pPr>
      <w:r>
        <w:rPr>
          <w:noProof/>
          <w:color w:val="000000"/>
          <w:sz w:val="18"/>
          <w:szCs w:val="18"/>
        </w:rPr>
        <w:drawing>
          <wp:inline distT="0" distB="0" distL="0" distR="0">
            <wp:extent cx="2471420" cy="1129030"/>
            <wp:effectExtent l="0" t="0" r="0" b="0"/>
            <wp:docPr id="108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2471420" cy="1129030"/>
                    </a:xfrm>
                    <a:prstGeom prst="rect">
                      <a:avLst/>
                    </a:prstGeom>
                    <a:ln/>
                  </pic:spPr>
                </pic:pic>
              </a:graphicData>
            </a:graphic>
          </wp:inline>
        </w:drawing>
      </w:r>
    </w:p>
    <w:p w:rsidR="004F7046" w:rsidRDefault="00596917">
      <w:pPr>
        <w:pBdr>
          <w:top w:val="nil"/>
          <w:left w:val="nil"/>
          <w:bottom w:val="nil"/>
          <w:right w:val="nil"/>
          <w:between w:val="nil"/>
        </w:pBdr>
        <w:rPr>
          <w:color w:val="000000"/>
          <w:sz w:val="18"/>
          <w:szCs w:val="18"/>
        </w:rPr>
      </w:pPr>
      <w:r>
        <w:rPr>
          <w:b/>
          <w:color w:val="000000"/>
          <w:sz w:val="18"/>
          <w:szCs w:val="18"/>
        </w:rPr>
        <w:t>Figura 2</w:t>
      </w:r>
      <w:r>
        <w:rPr>
          <w:color w:val="000000"/>
          <w:sz w:val="18"/>
          <w:szCs w:val="18"/>
        </w:rPr>
        <w:t>. Distribución de los pacientes de acuerdo a la escala CALL.</w:t>
      </w:r>
    </w:p>
    <w:p w:rsidR="004F7046" w:rsidRDefault="004F7046">
      <w:pPr>
        <w:pBdr>
          <w:top w:val="nil"/>
          <w:left w:val="nil"/>
          <w:bottom w:val="nil"/>
          <w:right w:val="nil"/>
          <w:between w:val="nil"/>
        </w:pBdr>
        <w:rPr>
          <w:color w:val="000000"/>
          <w:sz w:val="18"/>
          <w:szCs w:val="18"/>
        </w:rPr>
      </w:pPr>
    </w:p>
    <w:p w:rsidR="004F7046" w:rsidRDefault="00596917">
      <w:pPr>
        <w:pBdr>
          <w:top w:val="nil"/>
          <w:left w:val="nil"/>
          <w:bottom w:val="nil"/>
          <w:right w:val="nil"/>
          <w:between w:val="nil"/>
        </w:pBdr>
        <w:rPr>
          <w:color w:val="000000"/>
          <w:sz w:val="18"/>
          <w:szCs w:val="18"/>
        </w:rPr>
      </w:pPr>
      <w:r>
        <w:rPr>
          <w:noProof/>
          <w:color w:val="000000"/>
          <w:sz w:val="18"/>
          <w:szCs w:val="18"/>
        </w:rPr>
        <w:drawing>
          <wp:inline distT="0" distB="0" distL="0" distR="0">
            <wp:extent cx="2471420" cy="1365885"/>
            <wp:effectExtent l="0" t="0" r="0" b="0"/>
            <wp:docPr id="10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2471420" cy="1365885"/>
                    </a:xfrm>
                    <a:prstGeom prst="rect">
                      <a:avLst/>
                    </a:prstGeom>
                    <a:ln/>
                  </pic:spPr>
                </pic:pic>
              </a:graphicData>
            </a:graphic>
          </wp:inline>
        </w:drawing>
      </w:r>
    </w:p>
    <w:p w:rsidR="004F7046" w:rsidRDefault="00596917">
      <w:pPr>
        <w:pBdr>
          <w:top w:val="nil"/>
          <w:left w:val="nil"/>
          <w:bottom w:val="nil"/>
          <w:right w:val="nil"/>
          <w:between w:val="nil"/>
        </w:pBdr>
        <w:rPr>
          <w:color w:val="000000"/>
          <w:sz w:val="18"/>
          <w:szCs w:val="18"/>
        </w:rPr>
      </w:pPr>
      <w:r>
        <w:rPr>
          <w:b/>
          <w:color w:val="000000"/>
          <w:sz w:val="18"/>
          <w:szCs w:val="18"/>
        </w:rPr>
        <w:t>Figura 3.</w:t>
      </w:r>
      <w:r>
        <w:rPr>
          <w:color w:val="000000"/>
          <w:sz w:val="18"/>
          <w:szCs w:val="18"/>
        </w:rPr>
        <w:t xml:space="preserve"> Distribución de los pacientes de acuerdo a la escala NEWS 2.</w:t>
      </w:r>
    </w:p>
    <w:p w:rsidR="004F7046" w:rsidRDefault="00596917">
      <w:pPr>
        <w:pBdr>
          <w:top w:val="nil"/>
          <w:left w:val="nil"/>
          <w:bottom w:val="nil"/>
          <w:right w:val="nil"/>
          <w:between w:val="nil"/>
        </w:pBdr>
        <w:rPr>
          <w:color w:val="000000"/>
          <w:sz w:val="18"/>
          <w:szCs w:val="18"/>
        </w:rPr>
      </w:pPr>
      <w:r>
        <w:rPr>
          <w:noProof/>
        </w:rPr>
        <mc:AlternateContent>
          <mc:Choice Requires="wps">
            <w:drawing>
              <wp:anchor distT="0" distB="0" distL="114300" distR="114300" simplePos="0" relativeHeight="251654144" behindDoc="0" locked="0" layoutInCell="1" hidden="0" allowOverlap="1">
                <wp:simplePos x="0" y="0"/>
                <wp:positionH relativeFrom="column">
                  <wp:posOffset>2739136</wp:posOffset>
                </wp:positionH>
                <wp:positionV relativeFrom="paragraph">
                  <wp:posOffset>585724</wp:posOffset>
                </wp:positionV>
                <wp:extent cx="434528" cy="389452"/>
                <wp:effectExtent l="0" t="0" r="0" b="0"/>
                <wp:wrapNone/>
                <wp:docPr id="1070" name="Rectángulo 1070"/>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4F7046" w:rsidRDefault="00CE5DC6">
                            <w:pPr>
                              <w:jc w:val="center"/>
                              <w:textDirection w:val="btLr"/>
                            </w:pPr>
                            <w:r>
                              <w:rPr>
                                <w:b/>
                                <w:color w:val="FFFFFF"/>
                                <w:sz w:val="24"/>
                              </w:rPr>
                              <w:t>18</w:t>
                            </w:r>
                          </w:p>
                        </w:txbxContent>
                      </wps:txbx>
                      <wps:bodyPr spcFirstLastPara="1" wrap="square" lIns="91425" tIns="45675" rIns="91425" bIns="45675" anchor="t" anchorCtr="0">
                        <a:noAutofit/>
                      </wps:bodyPr>
                    </wps:wsp>
                  </a:graphicData>
                </a:graphic>
              </wp:anchor>
            </w:drawing>
          </mc:Choice>
          <mc:Fallback>
            <w:pict>
              <v:rect id="Rectángulo 1070" o:spid="_x0000_s1029" style="position:absolute;left:0;text-align:left;margin-left:215.7pt;margin-top:46.1pt;width:34.2pt;height:30.65pt;flip:x;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uNgIAAHAEAAAOAAAAZHJzL2Uyb0RvYy54bWysVNuO0zAQfUfiHyy/s0lvu9uo6QptKSCt&#10;oGLhA6aOnVjyDdtt0s/hW/gxxm7pdgEJCdEHa8YzPT5zZiaLu0Ersuc+SGtqOroqKeGG2UaatqZf&#10;Pq9f3VISIpgGlDW8pgce6N3y5YtF7yo+tp1VDfcEQUyoelfTLkZXFUVgHdcQrqzjBoPCeg0RXd8W&#10;jYce0bUqxmV5XfTWN85bxkPA29UxSJcZXwjO4kchAo9E1RS5xXz6fG7TWSwXULUeXCfZiQb8AwsN&#10;0uCjZ6gVRCA7L3+D0pJ5G6yIV8zqwgohGc81YDWj8pdqHjtwPNeC4gR3lin8P1j2Yb/xRDbYu/IG&#10;BTKgsUufULfv30y7U5bke5Spd6HC7Ee38ScvoJlqHoTXRCjp3iFKVgHrIkMW+XAWmQ+RMLycTqaz&#10;MU4Fw9Dkdo5OakJxhElwzof4lltNklFTj1wyKOwfQjym/kxJ6cEq2aylUtnx7fZeebIH7PesnK/G&#10;6xP6szRlSF/T+Ww8Qx6AYycURDS1QyGCafN7z/4RLoHL/PsTcCK2gtAdCWSElAaVtzvTZKvj0Lwx&#10;DYkHh0ob3AqayARNieK4Q2jkvAhS/T0PdVMG5UvdOfYjWXHYDrmpk4SVbra2OWCjg2NriRwfIMQN&#10;eBz1Eb6O44/vft2BRy7qvcH5mo+mSZyYnens+gYdfxnZXkbAsM7iVqGGR/M+5h1LlRv7ehetkLl1&#10;T1ROnHGsc/NPK5j25tLPWU8fiuUPAAAA//8DAFBLAwQUAAYACAAAACEAvqKuj+EAAAAKAQAADwAA&#10;AGRycy9kb3ducmV2LnhtbEyPQUvDQBCF74L/YRnBi9hN00RMzKZIqXixoq3gdZMdk9jsbMlu2vTf&#10;O570OMzHe98rlpPtxREH3zlSMJ9FIJBqZzpqFHzsnm7vQfigyejeESo4o4dleXlR6Ny4E73jcRsa&#10;wSHkc62gDeGQS+nrFq32M3dA4t+XG6wOfA6NNIM+cbjtZRxFd9Lqjrih1QdctVjvt6NV4M/j7ubl&#10;ebN+28vUfK+r12r1iUpdX02PDyACTuEPhl99VoeSnSo3kvGiV5As5gmjCrI4BsFAkmW8pWIyXaQg&#10;y0L+n1D+AAAA//8DAFBLAQItABQABgAIAAAAIQC2gziS/gAAAOEBAAATAAAAAAAAAAAAAAAAAAAA&#10;AABbQ29udGVudF9UeXBlc10ueG1sUEsBAi0AFAAGAAgAAAAhADj9If/WAAAAlAEAAAsAAAAAAAAA&#10;AAAAAAAALwEAAF9yZWxzLy5yZWxzUEsBAi0AFAAGAAgAAAAhAMd9/+42AgAAcAQAAA4AAAAAAAAA&#10;AAAAAAAALgIAAGRycy9lMm9Eb2MueG1sUEsBAi0AFAAGAAgAAAAhAL6iro/hAAAACgEAAA8AAAAA&#10;AAAAAAAAAAAAkAQAAGRycy9kb3ducmV2LnhtbFBLBQYAAAAABAAEAPMAAACeBQAAAAA=&#10;" fillcolor="#509d2f">
                <v:stroke startarrowwidth="narrow" startarrowlength="short" endarrowwidth="narrow" endarrowlength="short" joinstyle="round"/>
                <v:textbox inset="2.53958mm,1.26875mm,2.53958mm,1.26875mm">
                  <w:txbxContent>
                    <w:p w:rsidR="004F7046" w:rsidRDefault="00CE5DC6">
                      <w:pPr>
                        <w:jc w:val="center"/>
                        <w:textDirection w:val="btLr"/>
                      </w:pPr>
                      <w:r>
                        <w:rPr>
                          <w:b/>
                          <w:color w:val="FFFFFF"/>
                          <w:sz w:val="24"/>
                        </w:rPr>
                        <w:t>18</w:t>
                      </w:r>
                    </w:p>
                  </w:txbxContent>
                </v:textbox>
              </v:rect>
            </w:pict>
          </mc:Fallback>
        </mc:AlternateContent>
      </w:r>
    </w:p>
    <w:p w:rsidR="004F7046" w:rsidRDefault="00596917" w:rsidP="007F4404">
      <w:pPr>
        <w:pBdr>
          <w:top w:val="nil"/>
          <w:left w:val="nil"/>
          <w:bottom w:val="nil"/>
          <w:right w:val="nil"/>
          <w:between w:val="nil"/>
        </w:pBdr>
        <w:spacing w:before="340" w:after="170"/>
        <w:rPr>
          <w:rFonts w:ascii="Arial" w:eastAsia="Arial" w:hAnsi="Arial" w:cs="Arial"/>
          <w:b/>
          <w:color w:val="000000"/>
          <w:szCs w:val="20"/>
        </w:rPr>
      </w:pPr>
      <w:r>
        <w:rPr>
          <w:rFonts w:ascii="Arial" w:eastAsia="Arial" w:hAnsi="Arial" w:cs="Arial"/>
          <w:b/>
          <w:color w:val="000000"/>
          <w:szCs w:val="20"/>
        </w:rPr>
        <w:lastRenderedPageBreak/>
        <w:t>Capacidad predictiva en relación al requerimiento de ingreso a UTI de las diferentes escalas pronósticas en pacientes con neumonía por COVID-19</w:t>
      </w:r>
    </w:p>
    <w:p w:rsidR="004F7046" w:rsidRDefault="00596917">
      <w:r>
        <w:t xml:space="preserve">La capacidad predictiva del Score 4C para el traslado a UTI resultó pobre con un AUC de 0.52 (IC 95%= 0.44 - 0.60), indicando un rendimiento similar al azar. El Score CALL presentó una capacidad predictiva buena, con un AUC de 0.80 (IC 95%= 0.74 - 0.86). El Score NEWS 2 presentó una capacidad predictiva regular, con un AUC de 0.71 (IC 95%= 0.64 - 0.78).  Estos datos se muestran en la Tabla </w:t>
      </w:r>
      <w:r w:rsidR="007F4404">
        <w:t>2</w:t>
      </w:r>
      <w:r>
        <w:t>.</w:t>
      </w:r>
    </w:p>
    <w:p w:rsidR="004F7046" w:rsidRDefault="004F7046"/>
    <w:p w:rsidR="004F7046" w:rsidRDefault="00596917">
      <w:pPr>
        <w:pBdr>
          <w:top w:val="nil"/>
          <w:left w:val="nil"/>
          <w:bottom w:val="nil"/>
          <w:right w:val="nil"/>
          <w:between w:val="nil"/>
        </w:pBdr>
        <w:rPr>
          <w:color w:val="000000"/>
          <w:sz w:val="18"/>
          <w:szCs w:val="18"/>
        </w:rPr>
      </w:pPr>
      <w:r>
        <w:rPr>
          <w:b/>
          <w:color w:val="000000"/>
          <w:sz w:val="18"/>
          <w:szCs w:val="18"/>
        </w:rPr>
        <w:t>Tabla 2</w:t>
      </w:r>
      <w:r w:rsidRPr="007F4404">
        <w:rPr>
          <w:rStyle w:val="LeyendaTablaCar"/>
        </w:rPr>
        <w:t>. Capacidad predictiva en relación al requerimiento de ingreso a UTI de las diferentes escalas pronósticas en pacientes con neumonía por COVID-19.</w:t>
      </w:r>
      <w:r>
        <w:rPr>
          <w:color w:val="000000"/>
          <w:sz w:val="18"/>
          <w:szCs w:val="18"/>
        </w:rPr>
        <w:t xml:space="preserve">     </w:t>
      </w:r>
    </w:p>
    <w:p w:rsidR="004F7046" w:rsidRDefault="00596917">
      <w:r>
        <w:rPr>
          <w:noProof/>
        </w:rPr>
        <w:drawing>
          <wp:inline distT="0" distB="0" distL="0" distR="0">
            <wp:extent cx="2471420" cy="903605"/>
            <wp:effectExtent l="0" t="0" r="0" b="0"/>
            <wp:docPr id="10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2471420" cy="903605"/>
                    </a:xfrm>
                    <a:prstGeom prst="rect">
                      <a:avLst/>
                    </a:prstGeom>
                    <a:ln/>
                  </pic:spPr>
                </pic:pic>
              </a:graphicData>
            </a:graphic>
          </wp:inline>
        </w:drawing>
      </w:r>
    </w:p>
    <w:p w:rsidR="004F7046" w:rsidRDefault="00596917" w:rsidP="007F4404">
      <w:pPr>
        <w:pBdr>
          <w:top w:val="nil"/>
          <w:left w:val="nil"/>
          <w:bottom w:val="nil"/>
          <w:right w:val="nil"/>
          <w:between w:val="nil"/>
        </w:pBdr>
        <w:spacing w:before="340" w:after="170"/>
        <w:rPr>
          <w:rFonts w:ascii="Arial" w:eastAsia="Arial" w:hAnsi="Arial" w:cs="Arial"/>
          <w:b/>
          <w:color w:val="000000"/>
          <w:szCs w:val="20"/>
        </w:rPr>
      </w:pPr>
      <w:r>
        <w:rPr>
          <w:rFonts w:ascii="Arial" w:eastAsia="Arial" w:hAnsi="Arial" w:cs="Arial"/>
          <w:b/>
          <w:color w:val="000000"/>
          <w:szCs w:val="20"/>
        </w:rPr>
        <w:t>Capacidad predictiva de mortalidad de las diferentes escalas pronósticas en pacientes con neumonía por covid-19</w:t>
      </w:r>
    </w:p>
    <w:p w:rsidR="004F7046" w:rsidRDefault="00596917">
      <w:r>
        <w:t>La capacidad predictiva del Score 4C para la mortalidad resultó excelente con un AUC de 0.91 (IC 95%= 0.87 - 0.94). El Score CALL presentó una capacidad predictiva buena, con un AUC de 0.88 (IC 95%= 0.83 - 0.92). El Score NEWS 2 presentó una capacidad predictiva buena, con un AUC de 0.81 (IC 95%= 0.75 - 0.87). Estos datos se muestran en la Tabla 3.</w:t>
      </w:r>
    </w:p>
    <w:p w:rsidR="004F7046" w:rsidRDefault="004F7046"/>
    <w:p w:rsidR="004F7046" w:rsidRDefault="00596917">
      <w:pPr>
        <w:pBdr>
          <w:top w:val="nil"/>
          <w:left w:val="nil"/>
          <w:bottom w:val="nil"/>
          <w:right w:val="nil"/>
          <w:between w:val="nil"/>
        </w:pBdr>
        <w:rPr>
          <w:color w:val="000000"/>
          <w:sz w:val="18"/>
          <w:szCs w:val="18"/>
        </w:rPr>
      </w:pPr>
      <w:r>
        <w:rPr>
          <w:b/>
          <w:color w:val="000000"/>
          <w:sz w:val="18"/>
          <w:szCs w:val="18"/>
        </w:rPr>
        <w:t>Tabla 3.</w:t>
      </w:r>
      <w:r>
        <w:rPr>
          <w:color w:val="000000"/>
          <w:sz w:val="18"/>
          <w:szCs w:val="18"/>
        </w:rPr>
        <w:t xml:space="preserve"> </w:t>
      </w:r>
      <w:r w:rsidRPr="007F4404">
        <w:rPr>
          <w:rStyle w:val="LeyendaTablaCar"/>
        </w:rPr>
        <w:t>Capacidad predictiva de mortalidad de las diferentes escalas pronósticas en pacientes con neumonía por covid-19</w:t>
      </w:r>
    </w:p>
    <w:p w:rsidR="004F7046" w:rsidRDefault="00596917">
      <w:r>
        <w:rPr>
          <w:noProof/>
        </w:rPr>
        <w:drawing>
          <wp:inline distT="0" distB="0" distL="0" distR="0">
            <wp:extent cx="2471420" cy="884555"/>
            <wp:effectExtent l="0" t="0" r="0" b="0"/>
            <wp:docPr id="10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6"/>
                    <a:srcRect/>
                    <a:stretch>
                      <a:fillRect/>
                    </a:stretch>
                  </pic:blipFill>
                  <pic:spPr>
                    <a:xfrm>
                      <a:off x="0" y="0"/>
                      <a:ext cx="2471420" cy="884555"/>
                    </a:xfrm>
                    <a:prstGeom prst="rect">
                      <a:avLst/>
                    </a:prstGeom>
                    <a:ln/>
                  </pic:spPr>
                </pic:pic>
              </a:graphicData>
            </a:graphic>
          </wp:inline>
        </w:drawing>
      </w:r>
    </w:p>
    <w:p w:rsidR="004F7046" w:rsidRDefault="00596917">
      <w:pPr>
        <w:pStyle w:val="Ttulo1"/>
      </w:pPr>
      <w:r>
        <w:t>Discusión</w:t>
      </w:r>
    </w:p>
    <w:p w:rsidR="004F7046" w:rsidRDefault="00596917">
      <w:r>
        <w:t>Durante el año 2019, observamos el surgimiento de una enfermedad respiratoria infecciosa que generó grandes cambios en los paradigmas de salud en todo el mundo</w:t>
      </w:r>
      <w:r>
        <w:rPr>
          <w:vertAlign w:val="superscript"/>
        </w:rPr>
        <w:t>1,11</w:t>
      </w:r>
      <w:r>
        <w:t xml:space="preserve">. Entre los pacientes incluidos en este estudio que fueron hospitalizados por neumonía por COVID-19, </w:t>
      </w:r>
      <w:r>
        <w:t>hubo un claro predominio de sexo masculino, con una media de edad de 56,61 años, coincidiendo con otros estudios realizados en Estados Unidos (USA) y China</w:t>
      </w:r>
      <w:r>
        <w:rPr>
          <w:vertAlign w:val="superscript"/>
        </w:rPr>
        <w:t>12,14,15</w:t>
      </w:r>
      <w:r>
        <w:t>. El Ministerio de Salud de Argentina publicó que en el año 2020 existía un predominio del sexo masculino en cuanto a pacientes internados, con una media de 38 años, mientras que el Centro de Operaciones de Emergencia (COE) de Córdoba, en relación al mismo período, encontró un predominio del sexo femenino, con una media de edad de 55 años</w:t>
      </w:r>
      <w:r>
        <w:rPr>
          <w:vertAlign w:val="superscript"/>
        </w:rPr>
        <w:t>16,17</w:t>
      </w:r>
      <w:r>
        <w:t>.  La obesidad tuvo una significativa prevalencia en nuestra serie, tal como se describe en estudios realizados en USA y Wuhan, donde se lo consideró un factor de riesgo de gravedad</w:t>
      </w:r>
      <w:r>
        <w:rPr>
          <w:vertAlign w:val="superscript"/>
        </w:rPr>
        <w:t>14,15</w:t>
      </w:r>
      <w:r>
        <w:t>. Asimismo, un estudio sobre factores de riesgos asociados a mortalidad en COVID-19 de Argentina, que incluyó 435 628 casos, describió una mayor frecuencia y una clara correlación con comorbilidades como la hipertensión arterial, la diabetes mellitus y la obesidad</w:t>
      </w:r>
      <w:r>
        <w:rPr>
          <w:vertAlign w:val="superscript"/>
        </w:rPr>
        <w:t>17,18</w:t>
      </w:r>
      <w:r>
        <w:t xml:space="preserve">. </w:t>
      </w:r>
    </w:p>
    <w:p w:rsidR="004F7046" w:rsidRDefault="00596917">
      <w:r>
        <w:t>Con respecto a los aspectos clínicos evolutivos, observamos en nuestro estudio un porcentaje no despreciable de pacientes con requerimiento de traslado a UTI,  con un 19.6% de casos con indicación de ARM, lo cual coincide con lo expuesto en estudios similares</w:t>
      </w:r>
      <w:r>
        <w:rPr>
          <w:vertAlign w:val="superscript"/>
        </w:rPr>
        <w:t>13,15,18</w:t>
      </w:r>
      <w:r>
        <w:t>. Sin embargo, en relación a un estudio llevado a cabo en Córdoba durante el mismo período, si bien la internación en UTI resultó en similar prevalencia, tan sólo el 11,7% requirió de oxigenoterapia por ARM, con un mayor porcentaje de casos que presentaron buena respuesta clínica a la oxigenoterapia con CNAF (18,4%)</w:t>
      </w:r>
      <w:r>
        <w:rPr>
          <w:vertAlign w:val="superscript"/>
        </w:rPr>
        <w:t>16</w:t>
      </w:r>
      <w:r>
        <w:t>. Finalmente, en nuestro estudio se observó una mortalidad de 16.1% en el ámbito de internación. Siguiendo la línea de este aspecto, según datos publicados por el Ministerio de Salud de la Nación, hasta diciembre de 2020 en Argentina se registraban 41 672 fallecidos, con una tasa de mortalidad de 918 muertes cada millón de habitantes, mientras que, en Córdoba, en un período similar, se registraban 143 óbitos durante la internación</w:t>
      </w:r>
      <w:r>
        <w:rPr>
          <w:vertAlign w:val="superscript"/>
        </w:rPr>
        <w:t>16-19</w:t>
      </w:r>
      <w:r>
        <w:t>.</w:t>
      </w:r>
    </w:p>
    <w:p w:rsidR="004F7046" w:rsidRDefault="004B3E95">
      <w:r>
        <w:rPr>
          <w:noProof/>
        </w:rPr>
        <mc:AlternateContent>
          <mc:Choice Requires="wps">
            <w:drawing>
              <wp:anchor distT="0" distB="0" distL="114300" distR="114300" simplePos="0" relativeHeight="251655168" behindDoc="0" locked="0" layoutInCell="1" hidden="0" allowOverlap="1">
                <wp:simplePos x="0" y="0"/>
                <wp:positionH relativeFrom="column">
                  <wp:posOffset>2821559</wp:posOffset>
                </wp:positionH>
                <wp:positionV relativeFrom="paragraph">
                  <wp:posOffset>2191893</wp:posOffset>
                </wp:positionV>
                <wp:extent cx="434528" cy="389452"/>
                <wp:effectExtent l="0" t="0" r="0" b="0"/>
                <wp:wrapNone/>
                <wp:docPr id="1075" name="Rectángulo 107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4F7046" w:rsidRDefault="0075655E">
                            <w:pPr>
                              <w:jc w:val="center"/>
                              <w:textDirection w:val="btLr"/>
                            </w:pPr>
                            <w:r>
                              <w:rPr>
                                <w:b/>
                                <w:color w:val="FFFFFF"/>
                                <w:sz w:val="24"/>
                              </w:rPr>
                              <w:t>1</w:t>
                            </w:r>
                            <w:r w:rsidR="00CE5DC6">
                              <w:rPr>
                                <w:b/>
                                <w:color w:val="FFFFFF"/>
                                <w:sz w:val="24"/>
                              </w:rPr>
                              <w:t>9</w:t>
                            </w:r>
                          </w:p>
                        </w:txbxContent>
                      </wps:txbx>
                      <wps:bodyPr spcFirstLastPara="1" wrap="square" lIns="91425" tIns="45675" rIns="91425" bIns="45675" anchor="t" anchorCtr="0">
                        <a:noAutofit/>
                      </wps:bodyPr>
                    </wps:wsp>
                  </a:graphicData>
                </a:graphic>
              </wp:anchor>
            </w:drawing>
          </mc:Choice>
          <mc:Fallback>
            <w:pict>
              <v:rect id="Rectángulo 1075" o:spid="_x0000_s1030" style="position:absolute;left:0;text-align:left;margin-left:222.15pt;margin-top:172.6pt;width:34.2pt;height:30.6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DqNgIAAHAEAAAOAAAAZHJzL2Uyb0RvYy54bWysVG2O0zAQ/Y/EHSz/p0m77bKNmq7QlgLS&#10;CioWDjB17MSSv7DdJj0OZ+FiO3ZLtwtISIj+sGY80+c3b2ayuB20Invug7SmpuNRSQk3zDbStDX9&#10;+mX96oaSEME0oKzhNT3wQG+XL18selfxie2sargnCGJC1buadjG6qigC67iGMLKOGwwK6zVEdH1b&#10;NB56RNeqmJTlddFb3zhvGQ8Bb1fHIF1mfCE4i5+ECDwSVVPkFvPp87lNZ7FcQNV6cJ1kJxrwDyw0&#10;SIOPnqFWEIHsvPwNSkvmbbAijpjVhRVCMp5rwGrG5S/VPHTgeK4FxQnuLFP4f7Ds437jiWywd+Xr&#10;GSUGNHbpM+r247tpd8qSfI8y9S5UmP3gNv7kBTRTzYPwmggl3XtEySpgXWTIIh/OIvMhEoaX06vp&#10;bIJTwTB0dTNHJzWhOMIkOOdDfMetJsmoqUcuGRT29yEeU3+mpPRglWzWUqns+HZ7pzzZA/Z7Vs5X&#10;k/UJ/VmaMqSv6Xw2wYoZ4NgJBRFN7VCIYNr83rN/hEvgMv/+BJyIrSB0RwIZIaVB5e3ONNnqODRv&#10;TUPiwaHSBreCJjJBU6I47hAaOS+CVH/PQ92UQflSd479SFYctkNu6jRhpZutbQ7Y6ODYWiLHewhx&#10;Ax5HfYyv4/jju9924JGL+mBwvubjaRInZmc6u06z4S8j28sIGNZZ3CrU8GjexbxjqXJj3+yiFTK3&#10;7onKiTOOdW7+aQXT3lz6OevpQ7F8BAAA//8DAFBLAwQUAAYACAAAACEAqG8WMuIAAAALAQAADwAA&#10;AGRycy9kb3ducmV2LnhtbEyPQUvDQBCF74L/YRnBi9hN06RKzKZIqXixoq3gdZMdk9jsbMhu2vTf&#10;O570OLyP977JV5PtxBEH3zpSMJ9FIJAqZ1qqFXzsn27vQfigyejOESo4o4dVcXmR68y4E73jcRdq&#10;wSXkM62gCaHPpPRVg1b7meuROPtyg9WBz6GWZtAnLredjKNoKa1uiRca3eO6weqwG60Cfx73Ny/P&#10;283bQabme1O+lutPVOr6anp8ABFwCn8w/OqzOhTsVLqRjBedgiRJFowqWCRpDIKJdB7fgSg5ipYp&#10;yCKX/38ofgAAAP//AwBQSwECLQAUAAYACAAAACEAtoM4kv4AAADhAQAAEwAAAAAAAAAAAAAAAAAA&#10;AAAAW0NvbnRlbnRfVHlwZXNdLnhtbFBLAQItABQABgAIAAAAIQA4/SH/1gAAAJQBAAALAAAAAAAA&#10;AAAAAAAAAC8BAABfcmVscy8ucmVsc1BLAQItABQABgAIAAAAIQD6mwDqNgIAAHAEAAAOAAAAAAAA&#10;AAAAAAAAAC4CAABkcnMvZTJvRG9jLnhtbFBLAQItABQABgAIAAAAIQCobxYy4gAAAAsBAAAPAAAA&#10;AAAAAAAAAAAAAJAEAABkcnMvZG93bnJldi54bWxQSwUGAAAAAAQABADzAAAAnwUAAAAA&#10;" fillcolor="#509d2f">
                <v:stroke startarrowwidth="narrow" startarrowlength="short" endarrowwidth="narrow" endarrowlength="short" joinstyle="round"/>
                <v:textbox inset="2.53958mm,1.26875mm,2.53958mm,1.26875mm">
                  <w:txbxContent>
                    <w:p w:rsidR="004F7046" w:rsidRDefault="0075655E">
                      <w:pPr>
                        <w:jc w:val="center"/>
                        <w:textDirection w:val="btLr"/>
                      </w:pPr>
                      <w:r>
                        <w:rPr>
                          <w:b/>
                          <w:color w:val="FFFFFF"/>
                          <w:sz w:val="24"/>
                        </w:rPr>
                        <w:t>1</w:t>
                      </w:r>
                      <w:r w:rsidR="00CE5DC6">
                        <w:rPr>
                          <w:b/>
                          <w:color w:val="FFFFFF"/>
                          <w:sz w:val="24"/>
                        </w:rPr>
                        <w:t>9</w:t>
                      </w:r>
                    </w:p>
                  </w:txbxContent>
                </v:textbox>
              </v:rect>
            </w:pict>
          </mc:Fallback>
        </mc:AlternateContent>
      </w:r>
      <w:r w:rsidR="00596917">
        <w:t xml:space="preserve">Teniendo en cuenta la cambiante dinámica presente en la evolución de los pacientes con infección por COVID-19, la evaluación de herramientas pronósticas sostiene una gran relevancia, ya que la identificación temprana de pacientes en riesgo de deterioro clínico resulta crucial para la asignación adecuada de recursos. Por todo esto, los resultados de nuestro estudio sobre la capacidad predictiva de los </w:t>
      </w:r>
      <w:r w:rsidR="00596917">
        <w:rPr>
          <w:i/>
        </w:rPr>
        <w:t>scores</w:t>
      </w:r>
      <w:r w:rsidR="00596917">
        <w:t xml:space="preserve"> pronósticos 4C, CALL y NEWS2 para el traslado a unidades críticas y la mortalidad en pacientes hospitalizados por neumonía por COVID-19 </w:t>
      </w:r>
      <w:r w:rsidR="00596917">
        <w:lastRenderedPageBreak/>
        <w:t xml:space="preserve">ofrecen una perspectiva importante dentro del creciente cuerpo de literatura sobre este tema. </w:t>
      </w:r>
    </w:p>
    <w:p w:rsidR="004F7046" w:rsidRDefault="00596917">
      <w:r>
        <w:t>En primer lugar, mientras que el Score 4C demostró una capacidad predictiva excelente para la mortalidad, su rendimiento en la predicción del traslado a la unidad de cuidados críticos fue pobre, lo que coincide con hallazgos reportados anteriormente por Leitner et al.</w:t>
      </w:r>
      <w:r>
        <w:rPr>
          <w:vertAlign w:val="superscript"/>
        </w:rPr>
        <w:t>13</w:t>
      </w:r>
      <w:r>
        <w:t xml:space="preserve"> en un estudio realizado en Alemania con 1,380 pacientes hospitalizados por COVID-19. En dicho análisis, el score 4C también se destacó por su excelente capacidad para predecir la mortalidad, con un AUC de 0.90, muy similar a lo observado en nuestra población. Basados en el riesgo de muerte, estos resultados podrían ser implementados para un protocolo de manejo en el cual los pacientes correspondientes a riesgo alto debieran ser valorados para su admisión temprana en UTI y ser manejados con intervenciones terapéuticas agresivas desde el inicio.</w:t>
      </w:r>
    </w:p>
    <w:p w:rsidR="004F7046" w:rsidRDefault="00596917">
      <w:r>
        <w:t>En segundo lugar, el Score CALL demostró una capacidad predictiva buena tanto para el ingreso a unidades críticas como para la mortalidad, lo que respalda su utilidad como herramienta pronóstica y estratificadora de riesgo en pacientes con COVID-19</w:t>
      </w:r>
      <w:r>
        <w:rPr>
          <w:vertAlign w:val="superscript"/>
        </w:rPr>
        <w:t>20</w:t>
      </w:r>
      <w:r>
        <w:t>. Cabe mencionar además que la puntuación CALL no requiere ninguna prueba de laboratorio sofisticada, lo cual facilita su extrapolación en diversos contextos clínicos y sociales. Estos hallazgos son concordantes con los reportados por Leitner et al.</w:t>
      </w:r>
      <w:r>
        <w:rPr>
          <w:vertAlign w:val="superscript"/>
        </w:rPr>
        <w:t>13</w:t>
      </w:r>
      <w:r>
        <w:t xml:space="preserve">, quienes también encontraron un buen rendimiento del score CALL para predecir la severidad de la enfermedad, con un AUC de 0.81. Sin embargo, cabe mencionar que la especificidad relativamente baja del Score CALL podría plantear desafíos en su aplicación clínica, ya que podría conducir a una mayor tasa de falsos positivos. </w:t>
      </w:r>
    </w:p>
    <w:p w:rsidR="004F7046" w:rsidRDefault="0075655E">
      <w:r>
        <w:rPr>
          <w:noProof/>
        </w:rPr>
        <mc:AlternateContent>
          <mc:Choice Requires="wps">
            <w:drawing>
              <wp:anchor distT="0" distB="0" distL="114300" distR="114300" simplePos="0" relativeHeight="251656192" behindDoc="0" locked="0" layoutInCell="1" hidden="0" allowOverlap="1">
                <wp:simplePos x="0" y="0"/>
                <wp:positionH relativeFrom="column">
                  <wp:posOffset>5769229</wp:posOffset>
                </wp:positionH>
                <wp:positionV relativeFrom="paragraph">
                  <wp:posOffset>2936240</wp:posOffset>
                </wp:positionV>
                <wp:extent cx="434528" cy="389452"/>
                <wp:effectExtent l="0" t="0" r="0" b="0"/>
                <wp:wrapNone/>
                <wp:docPr id="1065" name="Rectángulo 106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4F7046" w:rsidRDefault="00CE5DC6">
                            <w:pPr>
                              <w:jc w:val="center"/>
                              <w:textDirection w:val="btLr"/>
                            </w:pPr>
                            <w:r>
                              <w:rPr>
                                <w:b/>
                                <w:color w:val="FFFFFF"/>
                                <w:sz w:val="24"/>
                              </w:rPr>
                              <w:t>20</w:t>
                            </w:r>
                          </w:p>
                        </w:txbxContent>
                      </wps:txbx>
                      <wps:bodyPr spcFirstLastPara="1" wrap="square" lIns="91425" tIns="45675" rIns="91425" bIns="45675" anchor="t" anchorCtr="0">
                        <a:noAutofit/>
                      </wps:bodyPr>
                    </wps:wsp>
                  </a:graphicData>
                </a:graphic>
              </wp:anchor>
            </w:drawing>
          </mc:Choice>
          <mc:Fallback>
            <w:pict>
              <v:rect id="Rectángulo 1065" o:spid="_x0000_s1031" style="position:absolute;left:0;text-align:left;margin-left:454.25pt;margin-top:231.2pt;width:34.2pt;height:30.65pt;flip:x;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epNgIAAHAEAAAOAAAAZHJzL2Uyb0RvYy54bWysVG2O0zAQ/Y/EHSz/p0m7zbKNmq7QlgLS&#10;CioWDjB1nMSSv7DdJj0OZ+FiO3ZKtwtISIj+sGY80+c3b2ayvB2UJAfuvDC6otNJTgnXzNRCtxX9&#10;+mXz6oYSH0DXII3mFT1yT29XL18se1vymemMrLkjCKJ92duKdiHYMss867gCPzGWaww2xikI6Lo2&#10;qx30iK5kNsvz66w3rrbOMO493q7HIF0l/KbhLHxqGs8DkRVFbiGdLp27eGarJZStA9sJdqIB/8BC&#10;gdD46BlqDQHI3onfoJRgznjThAkzKjNNIxhPNWA10/yXah46sDzVguJ4e5bJ/z9Y9vGwdUTU2Lv8&#10;uqBEg8IufUbdfnzX7V4aku5Rpt76ErMf7NadPI9mrHlonCKNFPY9oiQVsC4yJJGPZ5H5EAjDy/nV&#10;vJjhVDAMXd0s0IlNyEaYCGedD++4USQaFXXIJYHC4d6HMfVnSkz3Rop6I6RMjmt3d9KRA2C/i3yx&#10;nm1O6M/SpCZ9RRfFDCtmgGPXSAhoKotCeN2m9579w18C5+n3J+BIbA2+GwkkhJgGpTN7XSer41C/&#10;1TUJR4tKa9wKGsl4RYnkuENopLwAQv49D3WTGuWL3Rn7Ea0w7IbU1CJixZudqY/YaG/ZRiDHe/Bh&#10;Cw5HfYqv4/jju9/24JCL/KBxvhbTeRQnJGdeXL9Gx11GdpcR0KwzuFWo4WjehbRjsXJt3uyDaURq&#10;3ROVE2cc69T80wrGvbn0U9bTh2L1CAAA//8DAFBLAwQUAAYACAAAACEAP/QeEeQAAAALAQAADwAA&#10;AGRycy9kb3ducmV2LnhtbEyPQU/CQBCF7yb+h82YeDGytdJCS6fEEIwXJAgmXrfdoa10d5vuFsq/&#10;dz3pcfK+vPdNthxVy87U28ZohKdJAIx0aWSjK4TPw+vjHJh1QkvRGk0IV7KwzG9vMpFKc9EfdN67&#10;ivkSbVOBUDvXpZzbsiYl7MR0pH12NL0Szp99xWUvLr5ctTwMgpgr0Wi/UIuOVjWVp/2gEOx1ODxs&#10;3t7XuxOP5Pe62BarL0K8vxtfFsAcje4Phl99rw65dyrMoKVlLUISzCOPIkzjcArME8ksToAVCFH4&#10;PAOeZ/z/D/kPAAAA//8DAFBLAQItABQABgAIAAAAIQC2gziS/gAAAOEBAAATAAAAAAAAAAAAAAAA&#10;AAAAAABbQ29udGVudF9UeXBlc10ueG1sUEsBAi0AFAAGAAgAAAAhADj9If/WAAAAlAEAAAsAAAAA&#10;AAAAAAAAAAAALwEAAF9yZWxzLy5yZWxzUEsBAi0AFAAGAAgAAAAhABWKF6k2AgAAcAQAAA4AAAAA&#10;AAAAAAAAAAAALgIAAGRycy9lMm9Eb2MueG1sUEsBAi0AFAAGAAgAAAAhAD/0HhHkAAAACwEAAA8A&#10;AAAAAAAAAAAAAAAAkAQAAGRycy9kb3ducmV2LnhtbFBLBQYAAAAABAAEAPMAAAChBQAAAAA=&#10;" fillcolor="#509d2f">
                <v:stroke startarrowwidth="narrow" startarrowlength="short" endarrowwidth="narrow" endarrowlength="short" joinstyle="round"/>
                <v:textbox inset="2.53958mm,1.26875mm,2.53958mm,1.26875mm">
                  <w:txbxContent>
                    <w:p w:rsidR="004F7046" w:rsidRDefault="00CE5DC6">
                      <w:pPr>
                        <w:jc w:val="center"/>
                        <w:textDirection w:val="btLr"/>
                      </w:pPr>
                      <w:r>
                        <w:rPr>
                          <w:b/>
                          <w:color w:val="FFFFFF"/>
                          <w:sz w:val="24"/>
                        </w:rPr>
                        <w:t>20</w:t>
                      </w:r>
                    </w:p>
                  </w:txbxContent>
                </v:textbox>
              </v:rect>
            </w:pict>
          </mc:Fallback>
        </mc:AlternateContent>
      </w:r>
      <w:r w:rsidR="00596917">
        <w:t>Finalmente, en cuanto a la escala NEWS2, a diferencia de nuestros resultados, en el estudio de Leitner et al.</w:t>
      </w:r>
      <w:r w:rsidR="00596917">
        <w:rPr>
          <w:vertAlign w:val="superscript"/>
        </w:rPr>
        <w:t>13</w:t>
      </w:r>
      <w:r w:rsidR="00596917">
        <w:t xml:space="preserve"> se obtuvo un buen desempeño tanto para predecir severidad (AUC 0.81) cómo mortalidad (AUC 0.84) en los pacientes con COVID-19, en contraste con la capacidad predictiva regular que observamos en nuestra población en ambos aspectos. Estos resultados nos sugieren que se necesitan enfoques más específicos o herramientas adicionales para predecir el curso de la enfermedad, por lo cual es importante reconocer sus limitaciones y considerar otros factores clínicos y de laboratorio en la toma de decisiones clínicas. Sin embargo, cabe mencionar que Martín-Rodríguez et al. observaron que la NEWS 2 al ingreso hospitalario era la escala con mejor capacidad </w:t>
      </w:r>
      <w:r w:rsidR="00596917">
        <w:t>para predecir mortalidad temprana (menos de 48 horas tras el ingreso hospitalario)</w:t>
      </w:r>
      <w:r w:rsidR="00596917">
        <w:rPr>
          <w:vertAlign w:val="superscript"/>
        </w:rPr>
        <w:t>21</w:t>
      </w:r>
      <w:r w:rsidR="00596917">
        <w:t>, lo cual podría indicar que esta escala podría ser más útil como una herramienta de detección temprana de deterioro clínico en lugar de un predictor definitivo de resultados graves en pacientes con COVID-19.</w:t>
      </w:r>
    </w:p>
    <w:p w:rsidR="004F7046" w:rsidRDefault="00596917">
      <w:r>
        <w:t>Es importante tener en cuenta las limitaciones de este estudio, como su diseño retrospectivo y el uso de datos de una sola institución. Además, las características de la población estudiada pueden influir en los resultados y limitar su generalización a otros contextos clínicos. Sin embargo, todos los pacientes fueron evaluados y tratados de acuerdo con un protocolo de tratamiento estandarizado emitido en nuestro centro, lo que limita el sesgo de los diferentes enfoques clínicos. Finalmente, se excluyeron de este estudio los pacientes con órdenes de no intubación, una característica cuyos criterios pueden variar en diferentes comunidades, lo que reduce la validez externa de nuestro trabajo.</w:t>
      </w:r>
    </w:p>
    <w:p w:rsidR="004F7046" w:rsidRDefault="00596917">
      <w:pPr>
        <w:pStyle w:val="Ttulo1"/>
      </w:pPr>
      <w:r>
        <w:t>Conclusión</w:t>
      </w:r>
    </w:p>
    <w:p w:rsidR="004F7046" w:rsidRDefault="00596917">
      <w:pPr>
        <w:rPr>
          <w:b/>
        </w:rPr>
      </w:pPr>
      <w:r>
        <w:t>En nuestra población de pacientes hospitalizados en sala común por neumonía por COVID-19 se observó un predominio de sexo masculino, con una media de edad de 56.61 años y 53.6% pacientes con diagnóstico de obesidad. Los pacientes presentaron más frecuentemente una condición clínica de gravedad severa, con un 42.9% de casos con requerimiento de traslado a UTI y 16.1% de pacientes fallecidos en el ámbito de la internación. En cuanto a la evaluación de las escalas pronósticas, observamos que la escala CALL fue la más precisa como predictora tanto para el ingreso a unidades críticas como para la mortalidad, lo que respalda su utilidad como herramienta pronóstica y estratificadora de riesgo en pacientes con COVID-19. Por otra parte, la escala 4C demostró una pobre capacidad predictiva en cuanto al requerimiento de ingreso a UTI, pero una discriminación predictiva excelente en cuanto a mortalidad intrahospitalaria, mientras que la escala NEWS 2 demostró una capacidad predictiva regular en cuanto a ambos ámbitos. Estas herramientas resultan útiles para la administración hospitalaria y la estratificación del riesgo de los pacientes, si bien se destaca la necesidad continua de evaluar y comparar los valores de las diferentes escalas pronósticas para mejorar la precisión y la aplicabilidad clínica en el manejo de pacientes con COVID-19.</w:t>
      </w:r>
    </w:p>
    <w:p w:rsidR="004F7046" w:rsidRDefault="00596917">
      <w:pPr>
        <w:pStyle w:val="Ttulo1"/>
      </w:pPr>
      <w:r>
        <w:rPr>
          <w:rFonts w:eastAsia="Arial" w:cs="Arial"/>
          <w:szCs w:val="24"/>
        </w:rPr>
        <w:lastRenderedPageBreak/>
        <w:t>Bibliografía</w:t>
      </w:r>
    </w:p>
    <w:p w:rsidR="004F7046" w:rsidRDefault="00596917" w:rsidP="0075655E">
      <w:pPr>
        <w:pStyle w:val="Biblio"/>
      </w:pPr>
      <w:r>
        <w:t xml:space="preserve">1. Organización Mundial de la Salud. Guía viva para el manejo clínico de COVID-19: guía viva, 23 de noviembre de 2021. N.º OMS/2019-nCoV/clinical/2021.2.  </w:t>
      </w:r>
    </w:p>
    <w:p w:rsidR="004F7046" w:rsidRPr="008B5940" w:rsidRDefault="00596917" w:rsidP="0075655E">
      <w:pPr>
        <w:pStyle w:val="Biblio"/>
        <w:rPr>
          <w:lang w:val="en-US"/>
        </w:rPr>
      </w:pPr>
      <w:r>
        <w:t xml:space="preserve">2. </w:t>
      </w:r>
      <w:proofErr w:type="spellStart"/>
      <w:r>
        <w:t>Wynants</w:t>
      </w:r>
      <w:proofErr w:type="spellEnd"/>
      <w:r>
        <w:t xml:space="preserve">, </w:t>
      </w:r>
      <w:proofErr w:type="spellStart"/>
      <w:r>
        <w:t>Laure</w:t>
      </w:r>
      <w:proofErr w:type="spellEnd"/>
      <w:r>
        <w:t xml:space="preserve">, et al. Modelos de predicción para el diagnóstico y pronóstico de  covid-19: revisión sistemática y evaluación crítica (2020). </w:t>
      </w:r>
      <w:r w:rsidRPr="008B5940">
        <w:rPr>
          <w:lang w:val="en-US"/>
        </w:rPr>
        <w:t xml:space="preserve">BMJ (Clinical research ed.), 369, m 1328. </w:t>
      </w:r>
      <w:hyperlink r:id="rId27">
        <w:r w:rsidRPr="0075655E">
          <w:rPr>
            <w:lang w:val="en-US"/>
          </w:rPr>
          <w:t>https://doi.org/10.1136/bmj.m1328</w:t>
        </w:r>
      </w:hyperlink>
    </w:p>
    <w:p w:rsidR="004F7046" w:rsidRDefault="00596917" w:rsidP="0075655E">
      <w:pPr>
        <w:pStyle w:val="Biblio"/>
      </w:pPr>
      <w:r w:rsidRPr="008B5940">
        <w:rPr>
          <w:lang w:val="en-US"/>
        </w:rPr>
        <w:t xml:space="preserve">3. Knight, Stephen R., et al. </w:t>
      </w:r>
      <w:r>
        <w:t xml:space="preserve">Estratificación de riesgo de pacientes hospitalizados con COVID-19 utilizando el Protocolo de Caracterización Clínica ISARIC de la OMS:  desarrollo y validación del 4C </w:t>
      </w:r>
      <w:proofErr w:type="spellStart"/>
      <w:r>
        <w:t>Mortality</w:t>
      </w:r>
      <w:proofErr w:type="spellEnd"/>
      <w:r>
        <w:t xml:space="preserve"> Score. </w:t>
      </w:r>
      <w:proofErr w:type="spellStart"/>
      <w:r w:rsidR="0075655E">
        <w:t>bmj</w:t>
      </w:r>
      <w:proofErr w:type="spellEnd"/>
      <w:r w:rsidR="0075655E">
        <w:t>,</w:t>
      </w:r>
      <w:r>
        <w:t xml:space="preserve"> 2020, doi:10.1136/bmj.m3339</w:t>
      </w:r>
    </w:p>
    <w:p w:rsidR="004F7046" w:rsidRDefault="00596917" w:rsidP="0075655E">
      <w:pPr>
        <w:pStyle w:val="Biblio"/>
      </w:pPr>
      <w:r>
        <w:t xml:space="preserve">4. JI, Dong, et al. Predicción del riesgo de progresión en pacientes con neumonía por  COVID-19: la puntuación CALL. Enfermedades Infecciosas Clínicas, 2020, vol. 71, nº 6, pág. 1393-1399.71(6), </w:t>
      </w:r>
      <w:hyperlink r:id="rId28">
        <w:r w:rsidRPr="0075655E">
          <w:t>https://doi.org/10.1093/cid/ciaa414</w:t>
        </w:r>
      </w:hyperlink>
    </w:p>
    <w:p w:rsidR="004F7046" w:rsidRDefault="00596917" w:rsidP="0075655E">
      <w:pPr>
        <w:pStyle w:val="Biblio"/>
      </w:pPr>
      <w:r>
        <w:t xml:space="preserve">5. </w:t>
      </w:r>
      <w:proofErr w:type="spellStart"/>
      <w:r>
        <w:t>Myrstad</w:t>
      </w:r>
      <w:proofErr w:type="spellEnd"/>
      <w:r>
        <w:t xml:space="preserve">, Marius, et al. </w:t>
      </w:r>
      <w:proofErr w:type="spellStart"/>
      <w:r>
        <w:t>National</w:t>
      </w:r>
      <w:proofErr w:type="spellEnd"/>
      <w:r>
        <w:t xml:space="preserve"> </w:t>
      </w:r>
      <w:proofErr w:type="spellStart"/>
      <w:r>
        <w:t>Early</w:t>
      </w:r>
      <w:proofErr w:type="spellEnd"/>
      <w:r>
        <w:t xml:space="preserve"> </w:t>
      </w:r>
      <w:proofErr w:type="spellStart"/>
      <w:r>
        <w:t>Warning</w:t>
      </w:r>
      <w:proofErr w:type="spellEnd"/>
      <w:r>
        <w:t xml:space="preserve"> Score 2 (NEWS2) al ingreso predice  enfermedad grave y mortalidad hospitalaria por Covid-19: un estudio de cohorte  prospectivo. Revista escandinava de trauma, resucitación y medicina de emergencia, 2020, 28(1), 66. </w:t>
      </w:r>
      <w:hyperlink r:id="rId29">
        <w:r w:rsidRPr="0075655E">
          <w:t>https://doi.org/10.1186/s13049-020-00764-3</w:t>
        </w:r>
      </w:hyperlink>
      <w:r>
        <w:t xml:space="preserve"> </w:t>
      </w:r>
    </w:p>
    <w:p w:rsidR="004F7046" w:rsidRDefault="00596917" w:rsidP="0075655E">
      <w:pPr>
        <w:pStyle w:val="Biblio"/>
      </w:pPr>
      <w:r>
        <w:t xml:space="preserve">6. Williams, Bryan. El puntaje nacional de alerta temprana: desde el concepto hasta la  implementación del NHS. Medicina Clínica, Fronteras en Medicina 2022;17(1):9-13.  </w:t>
      </w:r>
    </w:p>
    <w:p w:rsidR="004F7046" w:rsidRDefault="00596917" w:rsidP="0075655E">
      <w:pPr>
        <w:pStyle w:val="Biblio"/>
      </w:pPr>
      <w:r>
        <w:t xml:space="preserve">7. </w:t>
      </w:r>
      <w:proofErr w:type="spellStart"/>
      <w:r>
        <w:t>Huespe</w:t>
      </w:r>
      <w:proofErr w:type="spellEnd"/>
      <w:r>
        <w:t xml:space="preserve">, Iván Alfredo, et al. Validación multicéntrica de </w:t>
      </w:r>
      <w:proofErr w:type="spellStart"/>
      <w:r>
        <w:t>Early</w:t>
      </w:r>
      <w:proofErr w:type="spellEnd"/>
      <w:r>
        <w:t xml:space="preserve"> </w:t>
      </w:r>
      <w:proofErr w:type="spellStart"/>
      <w:r>
        <w:t>Warning</w:t>
      </w:r>
      <w:proofErr w:type="spellEnd"/>
      <w:r>
        <w:t xml:space="preserve"> </w:t>
      </w:r>
      <w:r>
        <w:rPr>
          <w:i/>
        </w:rPr>
        <w:t>Scores</w:t>
      </w:r>
      <w:r>
        <w:t xml:space="preserve"> para  detección de deterioro clínico en pacientes hospitalizados por COVID-19. Medicina  intensiva ,2023;47(1):9-15. </w:t>
      </w:r>
      <w:hyperlink r:id="rId30">
        <w:r w:rsidRPr="0075655E">
          <w:t>https://doi.org/10.1016/j.medine.2021.11.023</w:t>
        </w:r>
      </w:hyperlink>
      <w:r w:rsidRPr="0075655E">
        <w:t>.</w:t>
      </w:r>
      <w:r>
        <w:t xml:space="preserve"> </w:t>
      </w:r>
    </w:p>
    <w:p w:rsidR="004F7046" w:rsidRDefault="00596917" w:rsidP="0075655E">
      <w:pPr>
        <w:pStyle w:val="Biblio"/>
      </w:pPr>
      <w:r>
        <w:t xml:space="preserve">8. Esteban Ronda V, Ruiz Alcaraz S, Ruiz  </w:t>
      </w:r>
      <w:proofErr w:type="spellStart"/>
      <w:r>
        <w:t>Terregrosa</w:t>
      </w:r>
      <w:proofErr w:type="spellEnd"/>
      <w:r>
        <w:t xml:space="preserve"> P, et al. Aplicación de escalas pronósticas de gravedad en la neumonía por SARS-CoV-2. </w:t>
      </w:r>
      <w:proofErr w:type="spellStart"/>
      <w:r>
        <w:t>Med</w:t>
      </w:r>
      <w:proofErr w:type="spellEnd"/>
      <w:r>
        <w:t xml:space="preserve">. </w:t>
      </w:r>
      <w:proofErr w:type="spellStart"/>
      <w:r>
        <w:t>clín</w:t>
      </w:r>
      <w:proofErr w:type="spellEnd"/>
      <w:r>
        <w:t xml:space="preserve"> (Ed. impr.) 2021;157(3): 99-105.</w:t>
      </w:r>
    </w:p>
    <w:p w:rsidR="004F7046" w:rsidRDefault="00596917" w:rsidP="0075655E">
      <w:pPr>
        <w:pStyle w:val="Biblio"/>
      </w:pPr>
      <w:r>
        <w:t xml:space="preserve">9. </w:t>
      </w:r>
      <w:proofErr w:type="spellStart"/>
      <w:r>
        <w:t>Charlson</w:t>
      </w:r>
      <w:proofErr w:type="spellEnd"/>
      <w:r>
        <w:t>, María E., et al. Un nuevo método de clasificación de la comorbilidad  pronóstica en estudios longitudinales: desarrollo y validación. Revista de  enfermedades crónicas, 1987, vol. 40, nº 5, pág. 373</w:t>
      </w:r>
      <w:r w:rsidRPr="0075655E">
        <w:t xml:space="preserve">-383 </w:t>
      </w:r>
      <w:hyperlink r:id="rId31">
        <w:r w:rsidRPr="0075655E">
          <w:t>https://doi.org/10.1016/0021-9681(87)90171-8</w:t>
        </w:r>
      </w:hyperlink>
      <w:r w:rsidRPr="0075655E">
        <w:t>.</w:t>
      </w:r>
    </w:p>
    <w:p w:rsidR="004F7046" w:rsidRDefault="00596917" w:rsidP="0075655E">
      <w:pPr>
        <w:pStyle w:val="Biblio"/>
      </w:pPr>
      <w:r>
        <w:t xml:space="preserve">10. Biblioteca Nacional de Medicina (EE. UU.). Índice de masa corporal [Internet]. MedlinePlus. 25 de julio de 2022 [citado 1 de marzo de 2025]. Disponible en: </w:t>
      </w:r>
      <w:hyperlink r:id="rId32">
        <w:r w:rsidRPr="0075655E">
          <w:t>https://medlineplus.gov/spanish/ency/article/007196.htm</w:t>
        </w:r>
      </w:hyperlink>
    </w:p>
    <w:p w:rsidR="004F7046" w:rsidRDefault="00596917" w:rsidP="0075655E">
      <w:pPr>
        <w:pStyle w:val="Biblio"/>
      </w:pPr>
      <w:r w:rsidRPr="008B5940">
        <w:rPr>
          <w:lang w:val="en-US"/>
        </w:rPr>
        <w:t xml:space="preserve">11.Mandrekar JN. Receiver operating characteristic curve in diagnostic test assessment. </w:t>
      </w:r>
      <w:r>
        <w:t xml:space="preserve">J </w:t>
      </w:r>
      <w:proofErr w:type="spellStart"/>
      <w:r>
        <w:t>Thorac</w:t>
      </w:r>
      <w:proofErr w:type="spellEnd"/>
      <w:r>
        <w:t xml:space="preserve"> Oncol. 2010 Sep;5(9):1315-6. </w:t>
      </w:r>
    </w:p>
    <w:p w:rsidR="004F7046" w:rsidRDefault="00596917" w:rsidP="0075655E">
      <w:pPr>
        <w:pStyle w:val="Biblio"/>
      </w:pPr>
      <w:r>
        <w:t>12. Mangeaud, Arnaldo; DH, Elías Panigo. R-Medic. Un programa de análisis estadístico  sencillo e intuitivo. Methodo Investigación Aplicada a las Ciencias Biológicas, 2018, vol. 3, no 1.</w:t>
      </w:r>
    </w:p>
    <w:p w:rsidR="004F7046" w:rsidRPr="008B5940" w:rsidRDefault="00596917" w:rsidP="0075655E">
      <w:pPr>
        <w:pStyle w:val="Biblio"/>
        <w:rPr>
          <w:lang w:val="en-US"/>
        </w:rPr>
      </w:pPr>
      <w:r>
        <w:t xml:space="preserve">13. Leitner J, Lindner L, Herrmann A, et al. </w:t>
      </w:r>
      <w:r w:rsidRPr="008B5940">
        <w:rPr>
          <w:lang w:val="en-US"/>
        </w:rPr>
        <w:t xml:space="preserve">Comparison of Different Risk </w:t>
      </w:r>
      <w:r w:rsidRPr="008B5940">
        <w:rPr>
          <w:i/>
          <w:lang w:val="en-US"/>
        </w:rPr>
        <w:t>Scores</w:t>
      </w:r>
      <w:r w:rsidRPr="008B5940">
        <w:rPr>
          <w:lang w:val="en-US"/>
        </w:rPr>
        <w:t xml:space="preserve"> for the Prediction of Severity and Mortality in COVID-19 Patients: Results from a Large Cohort in Germany. Diagnostics (Basel). 2021;11(10):1836</w:t>
      </w:r>
    </w:p>
    <w:p w:rsidR="004F7046" w:rsidRDefault="00596917" w:rsidP="0075655E">
      <w:pPr>
        <w:pStyle w:val="Biblio"/>
      </w:pPr>
      <w:r w:rsidRPr="008B5940">
        <w:rPr>
          <w:lang w:val="en-US"/>
        </w:rPr>
        <w:t xml:space="preserve">14. Wang D, Hu B, Hu C, Zhu F, Liu X, Zhang J, Wang B, Xiang H, Cheng Z, </w:t>
      </w:r>
      <w:proofErr w:type="spellStart"/>
      <w:r w:rsidRPr="008B5940">
        <w:rPr>
          <w:lang w:val="en-US"/>
        </w:rPr>
        <w:t>Xiong</w:t>
      </w:r>
      <w:proofErr w:type="spellEnd"/>
      <w:r w:rsidRPr="008B5940">
        <w:rPr>
          <w:lang w:val="en-US"/>
        </w:rPr>
        <w:t xml:space="preserve"> Y, Zhao Y, Li Y, Wang X, Peng Z. Clinical Characteristics of 138 Hospitalized Patients With 2019 Novel Coronavirus-Infected Pneumonia in Wuhan, China. </w:t>
      </w:r>
      <w:r>
        <w:t xml:space="preserve">JAMA [Internet]. 2020 Mar [consultado en 2021 marzo]; 17;323(11):1061-1069. </w:t>
      </w:r>
      <w:proofErr w:type="spellStart"/>
      <w:r>
        <w:t>doi</w:t>
      </w:r>
      <w:proofErr w:type="spellEnd"/>
      <w:r>
        <w:t>: 10.1001/jama.2020.1585. Disponible en: https://jamanetwork.com/journals/jama /</w:t>
      </w:r>
      <w:proofErr w:type="spellStart"/>
      <w:r>
        <w:t>fullarticle</w:t>
      </w:r>
      <w:proofErr w:type="spellEnd"/>
      <w:r>
        <w:t>/2761044</w:t>
      </w:r>
    </w:p>
    <w:p w:rsidR="004F7046" w:rsidRDefault="00596917" w:rsidP="0075655E">
      <w:pPr>
        <w:pStyle w:val="Biblio"/>
        <w:rPr>
          <w:color w:val="000000"/>
          <w:szCs w:val="20"/>
        </w:rPr>
      </w:pPr>
      <w:r>
        <w:rPr>
          <w:color w:val="000000"/>
          <w:szCs w:val="20"/>
        </w:rPr>
        <w:t xml:space="preserve">15. </w:t>
      </w:r>
      <w:proofErr w:type="spellStart"/>
      <w:r>
        <w:rPr>
          <w:color w:val="000000"/>
          <w:szCs w:val="20"/>
        </w:rPr>
        <w:t>Goyal</w:t>
      </w:r>
      <w:proofErr w:type="spellEnd"/>
      <w:r>
        <w:rPr>
          <w:color w:val="000000"/>
          <w:szCs w:val="20"/>
        </w:rPr>
        <w:t xml:space="preserve"> P, Choi JJ, </w:t>
      </w:r>
      <w:proofErr w:type="spellStart"/>
      <w:r>
        <w:rPr>
          <w:color w:val="000000"/>
          <w:szCs w:val="20"/>
        </w:rPr>
        <w:t>Pinheiro</w:t>
      </w:r>
      <w:proofErr w:type="spellEnd"/>
      <w:r>
        <w:rPr>
          <w:color w:val="000000"/>
          <w:szCs w:val="20"/>
        </w:rPr>
        <w:t xml:space="preserve"> LC, </w:t>
      </w:r>
      <w:proofErr w:type="spellStart"/>
      <w:r>
        <w:rPr>
          <w:color w:val="000000"/>
          <w:szCs w:val="20"/>
        </w:rPr>
        <w:t>Schenck</w:t>
      </w:r>
      <w:proofErr w:type="spellEnd"/>
      <w:r>
        <w:rPr>
          <w:color w:val="000000"/>
          <w:szCs w:val="20"/>
        </w:rPr>
        <w:t xml:space="preserve"> EJ, Chen R, </w:t>
      </w:r>
      <w:proofErr w:type="spellStart"/>
      <w:r>
        <w:rPr>
          <w:color w:val="000000"/>
          <w:szCs w:val="20"/>
        </w:rPr>
        <w:t>Jabri</w:t>
      </w:r>
      <w:proofErr w:type="spellEnd"/>
      <w:r>
        <w:rPr>
          <w:color w:val="000000"/>
          <w:szCs w:val="20"/>
        </w:rPr>
        <w:t xml:space="preserve"> A, </w:t>
      </w:r>
      <w:proofErr w:type="spellStart"/>
      <w:r>
        <w:rPr>
          <w:color w:val="000000"/>
          <w:szCs w:val="20"/>
        </w:rPr>
        <w:t>Satlin</w:t>
      </w:r>
      <w:proofErr w:type="spellEnd"/>
      <w:r>
        <w:rPr>
          <w:color w:val="000000"/>
          <w:szCs w:val="20"/>
        </w:rPr>
        <w:t xml:space="preserve"> MJ, </w:t>
      </w:r>
      <w:proofErr w:type="spellStart"/>
      <w:r>
        <w:rPr>
          <w:color w:val="000000"/>
          <w:szCs w:val="20"/>
        </w:rPr>
        <w:t>Campion</w:t>
      </w:r>
      <w:proofErr w:type="spellEnd"/>
      <w:r>
        <w:rPr>
          <w:color w:val="000000"/>
          <w:szCs w:val="20"/>
        </w:rPr>
        <w:t xml:space="preserve"> TR </w:t>
      </w:r>
      <w:proofErr w:type="spellStart"/>
      <w:r>
        <w:rPr>
          <w:color w:val="000000"/>
          <w:szCs w:val="20"/>
        </w:rPr>
        <w:t>Jr</w:t>
      </w:r>
      <w:proofErr w:type="spellEnd"/>
      <w:r>
        <w:rPr>
          <w:color w:val="000000"/>
          <w:szCs w:val="20"/>
        </w:rPr>
        <w:t xml:space="preserve">, </w:t>
      </w:r>
      <w:proofErr w:type="spellStart"/>
      <w:r>
        <w:rPr>
          <w:color w:val="000000"/>
          <w:szCs w:val="20"/>
        </w:rPr>
        <w:t>Nahid</w:t>
      </w:r>
      <w:proofErr w:type="spellEnd"/>
      <w:r>
        <w:rPr>
          <w:color w:val="000000"/>
          <w:szCs w:val="20"/>
        </w:rPr>
        <w:t xml:space="preserve"> M, </w:t>
      </w:r>
      <w:proofErr w:type="spellStart"/>
      <w:r>
        <w:rPr>
          <w:color w:val="000000"/>
          <w:szCs w:val="20"/>
        </w:rPr>
        <w:t>Ringel</w:t>
      </w:r>
      <w:proofErr w:type="spellEnd"/>
      <w:r>
        <w:rPr>
          <w:color w:val="000000"/>
          <w:szCs w:val="20"/>
        </w:rPr>
        <w:t xml:space="preserve"> JB, Hoffman KL, </w:t>
      </w:r>
      <w:proofErr w:type="spellStart"/>
      <w:r>
        <w:rPr>
          <w:color w:val="000000"/>
          <w:szCs w:val="20"/>
        </w:rPr>
        <w:t>Alshak</w:t>
      </w:r>
      <w:proofErr w:type="spellEnd"/>
      <w:r>
        <w:rPr>
          <w:color w:val="000000"/>
          <w:szCs w:val="20"/>
        </w:rPr>
        <w:t xml:space="preserve"> MN, Li HA, </w:t>
      </w:r>
      <w:proofErr w:type="spellStart"/>
      <w:r>
        <w:rPr>
          <w:color w:val="000000"/>
          <w:szCs w:val="20"/>
        </w:rPr>
        <w:t>Wehmeyer</w:t>
      </w:r>
      <w:proofErr w:type="spellEnd"/>
      <w:r>
        <w:rPr>
          <w:color w:val="000000"/>
          <w:szCs w:val="20"/>
        </w:rPr>
        <w:t xml:space="preserve"> GT, Rajan M, </w:t>
      </w:r>
      <w:proofErr w:type="spellStart"/>
      <w:r>
        <w:rPr>
          <w:color w:val="000000"/>
          <w:szCs w:val="20"/>
        </w:rPr>
        <w:t>Reshetnyak</w:t>
      </w:r>
      <w:proofErr w:type="spellEnd"/>
      <w:r>
        <w:rPr>
          <w:color w:val="000000"/>
          <w:szCs w:val="20"/>
        </w:rPr>
        <w:t xml:space="preserve"> E, </w:t>
      </w:r>
      <w:proofErr w:type="spellStart"/>
      <w:r>
        <w:rPr>
          <w:color w:val="000000"/>
          <w:szCs w:val="20"/>
        </w:rPr>
        <w:t>Hupert</w:t>
      </w:r>
      <w:proofErr w:type="spellEnd"/>
      <w:r>
        <w:rPr>
          <w:color w:val="000000"/>
          <w:szCs w:val="20"/>
        </w:rPr>
        <w:t xml:space="preserve"> N, </w:t>
      </w:r>
      <w:proofErr w:type="spellStart"/>
      <w:r>
        <w:rPr>
          <w:color w:val="000000"/>
          <w:szCs w:val="20"/>
        </w:rPr>
        <w:t>Horn</w:t>
      </w:r>
      <w:proofErr w:type="spellEnd"/>
      <w:r>
        <w:rPr>
          <w:color w:val="000000"/>
          <w:szCs w:val="20"/>
        </w:rPr>
        <w:t xml:space="preserve"> EM, </w:t>
      </w:r>
      <w:proofErr w:type="spellStart"/>
      <w:r>
        <w:rPr>
          <w:color w:val="000000"/>
          <w:szCs w:val="20"/>
        </w:rPr>
        <w:t>Martinez</w:t>
      </w:r>
      <w:proofErr w:type="spellEnd"/>
      <w:r>
        <w:rPr>
          <w:color w:val="000000"/>
          <w:szCs w:val="20"/>
        </w:rPr>
        <w:t xml:space="preserve"> FJ, Gulick RM, </w:t>
      </w:r>
      <w:proofErr w:type="spellStart"/>
      <w:r>
        <w:rPr>
          <w:color w:val="000000"/>
          <w:szCs w:val="20"/>
        </w:rPr>
        <w:t>Safford</w:t>
      </w:r>
      <w:proofErr w:type="spellEnd"/>
      <w:r>
        <w:rPr>
          <w:color w:val="000000"/>
          <w:szCs w:val="20"/>
        </w:rPr>
        <w:t xml:space="preserve"> MM. </w:t>
      </w:r>
      <w:r w:rsidRPr="003D558C">
        <w:rPr>
          <w:color w:val="000000"/>
          <w:szCs w:val="20"/>
          <w:lang w:val="en-US"/>
        </w:rPr>
        <w:t xml:space="preserve">Clinical Characteristics of Covid-19 in New York City. N </w:t>
      </w:r>
      <w:proofErr w:type="spellStart"/>
      <w:r w:rsidRPr="003D558C">
        <w:rPr>
          <w:color w:val="000000"/>
          <w:szCs w:val="20"/>
          <w:lang w:val="en-US"/>
        </w:rPr>
        <w:t>Engl</w:t>
      </w:r>
      <w:proofErr w:type="spellEnd"/>
      <w:r w:rsidRPr="003D558C">
        <w:rPr>
          <w:color w:val="000000"/>
          <w:szCs w:val="20"/>
          <w:lang w:val="en-US"/>
        </w:rPr>
        <w:t xml:space="preserve"> J Med [Internet]. </w:t>
      </w:r>
      <w:r>
        <w:rPr>
          <w:color w:val="000000"/>
          <w:szCs w:val="20"/>
        </w:rPr>
        <w:t xml:space="preserve">2020 </w:t>
      </w:r>
      <w:r w:rsidR="0075655E">
        <w:rPr>
          <w:color w:val="000000"/>
          <w:szCs w:val="20"/>
        </w:rPr>
        <w:t>jun</w:t>
      </w:r>
      <w:r>
        <w:rPr>
          <w:color w:val="000000"/>
          <w:szCs w:val="20"/>
        </w:rPr>
        <w:t xml:space="preserve"> [Consultado en 2021 mayo]; 11;382(24):2372-2374. </w:t>
      </w:r>
      <w:proofErr w:type="spellStart"/>
      <w:r>
        <w:rPr>
          <w:color w:val="000000"/>
          <w:szCs w:val="20"/>
        </w:rPr>
        <w:t>doi</w:t>
      </w:r>
      <w:proofErr w:type="spellEnd"/>
      <w:r>
        <w:rPr>
          <w:color w:val="000000"/>
          <w:szCs w:val="20"/>
        </w:rPr>
        <w:t xml:space="preserve">: 10.1056/NEJMc2010419. </w:t>
      </w:r>
    </w:p>
    <w:p w:rsidR="004F7046" w:rsidRDefault="00596917" w:rsidP="0075655E">
      <w:pPr>
        <w:pStyle w:val="Biblio"/>
        <w:rPr>
          <w:color w:val="000000"/>
          <w:szCs w:val="20"/>
        </w:rPr>
      </w:pPr>
      <w:r>
        <w:rPr>
          <w:color w:val="000000"/>
          <w:szCs w:val="20"/>
        </w:rPr>
        <w:t xml:space="preserve">16.Ministerio de salud de la República Argentina. Sala de situación semanal Covid19- Nuevo Coronavirus 2019 SE51. [Internet]. Argentina. [diciembre 2020. Citado el 9 de julio de 2022]. Disponible en: https://www.argentina.gob.ar/sites/defa </w:t>
      </w:r>
      <w:proofErr w:type="spellStart"/>
      <w:r>
        <w:rPr>
          <w:color w:val="000000"/>
          <w:szCs w:val="20"/>
        </w:rPr>
        <w:t>ult</w:t>
      </w:r>
      <w:proofErr w:type="spellEnd"/>
      <w:r>
        <w:rPr>
          <w:color w:val="000000"/>
          <w:szCs w:val="20"/>
        </w:rPr>
        <w:t xml:space="preserve">/files/sala_18_12_se51.pdf </w:t>
      </w:r>
    </w:p>
    <w:p w:rsidR="004F7046" w:rsidRDefault="0075655E" w:rsidP="0075655E">
      <w:pPr>
        <w:pStyle w:val="Biblio"/>
      </w:pPr>
      <w:r>
        <w:rPr>
          <w:noProof/>
        </w:rPr>
        <mc:AlternateContent>
          <mc:Choice Requires="wps">
            <w:drawing>
              <wp:anchor distT="0" distB="0" distL="114300" distR="114300" simplePos="0" relativeHeight="251657216" behindDoc="0" locked="0" layoutInCell="1" hidden="0" allowOverlap="1">
                <wp:simplePos x="0" y="0"/>
                <wp:positionH relativeFrom="column">
                  <wp:posOffset>2717927</wp:posOffset>
                </wp:positionH>
                <wp:positionV relativeFrom="paragraph">
                  <wp:posOffset>1362583</wp:posOffset>
                </wp:positionV>
                <wp:extent cx="434528" cy="389452"/>
                <wp:effectExtent l="0" t="0" r="0" b="0"/>
                <wp:wrapNone/>
                <wp:docPr id="1071" name="Rectángulo 1071"/>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4F7046" w:rsidRDefault="00490931">
                            <w:pPr>
                              <w:jc w:val="center"/>
                              <w:textDirection w:val="btLr"/>
                            </w:pPr>
                            <w:r>
                              <w:rPr>
                                <w:b/>
                                <w:color w:val="FFFFFF"/>
                                <w:sz w:val="24"/>
                              </w:rPr>
                              <w:t>2</w:t>
                            </w:r>
                            <w:r w:rsidR="00CE5DC6">
                              <w:rPr>
                                <w:b/>
                                <w:color w:val="FFFFFF"/>
                                <w:sz w:val="24"/>
                              </w:rPr>
                              <w:t>1</w:t>
                            </w:r>
                          </w:p>
                        </w:txbxContent>
                      </wps:txbx>
                      <wps:bodyPr spcFirstLastPara="1" wrap="square" lIns="91425" tIns="45675" rIns="91425" bIns="45675" anchor="t" anchorCtr="0">
                        <a:noAutofit/>
                      </wps:bodyPr>
                    </wps:wsp>
                  </a:graphicData>
                </a:graphic>
              </wp:anchor>
            </w:drawing>
          </mc:Choice>
          <mc:Fallback>
            <w:pict>
              <v:rect id="Rectángulo 1071" o:spid="_x0000_s1032" style="position:absolute;left:0;text-align:left;margin-left:214pt;margin-top:107.3pt;width:34.2pt;height:30.65pt;flip:x;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x1NwIAAHAEAAAOAAAAZHJzL2Uyb0RvYy54bWysVG2O0zAQ/Y/EHSz/p0m77e42arpCWwpI&#10;K6hYOMDUsRNL/sJ2m/Q4nIWLMXZLtwtISIj+sGY80+c3b2ayuBu0Invug7SmpuNRSQk3zDbStDX9&#10;8nn96paSEME0oKzhNT3wQO+WL18selfxie2sargnCGJC1buadjG6qigC67iGMLKOGwwK6zVEdH1b&#10;NB56RNeqmJTlddFb3zhvGQ8Bb1fHIF1mfCE4ix+FCDwSVVPkFvPp87lNZ7FcQNV6cJ1kJxrwDyw0&#10;SIOPnqFWEIHsvPwNSkvmbbAijpjVhRVCMp5rwGrG5S/VPHbgeK4FxQnuLFP4f7Dsw37jiWywd+XN&#10;mBIDGrv0CXX7/s20O2VJvkeZehcqzH50G3/yApqp5kF4TYSS7h2iZBWwLjJkkQ9nkfkQCcPL6dV0&#10;NsGpYBi6up2jk5pQHGESnPMhvuVWk2TU1COXDAr7hxCPqT9TUnqwSjZrqVR2fLu9V57sAfs9K+er&#10;yfqE/ixNGdLXdD6bzJAH4NgJBRFN7VCIYNr83rN/hEvgMv/+BJyIrSB0RwIZIaVB5e3ONNnqODRv&#10;TEPiwaHSBreCJjJBU6I47hAaOS+CVH/PQ92UQflSd479SFYctkNu6nXCSjdb2xyw0cGxtUSODxDi&#10;BjyOOva8x/HHd7/uwCMX9d7gfM3H0yROzM50dn2Djr+MbC8jYFhncatQw6N5H/OOpcqNfb2LVsjc&#10;uicqJ8441rn5pxVMe3Pp56ynD8XyBwAAAP//AwBQSwMEFAAGAAgAAAAhAK/dQ2jjAAAACwEAAA8A&#10;AABkcnMvZG93bnJldi54bWxMj8FOwzAQRO9I/IO1SFwQdRqloQ1xKlQVcQEELRJXJ16S0HgdxU6b&#10;/j3LCY6zM5p9k68n24kjDr51pGA+i0AgVc60VCv42D/eLkH4oMnozhEqOKOHdXF5kevMuBO943EX&#10;asEl5DOtoAmhz6T0VYNW+5nrkdj7coPVgeVQSzPoE5fbTsZRlEqrW+IPje5x02B12I1WgT+P+5vn&#10;p5ft20EuzPe2fC03n6jU9dX0cA8i4BT+wvCLz+hQMFPpRjJedAqSeMlbgoJ4nqQgOJGs0gREyZe7&#10;xQpkkcv/G4ofAAAA//8DAFBLAQItABQABgAIAAAAIQC2gziS/gAAAOEBAAATAAAAAAAAAAAAAAAA&#10;AAAAAABbQ29udGVudF9UeXBlc10ueG1sUEsBAi0AFAAGAAgAAAAhADj9If/WAAAAlAEAAAsAAAAA&#10;AAAAAAAAAAAALwEAAF9yZWxzLy5yZWxzUEsBAi0AFAAGAAgAAAAhAE/hnHU3AgAAcAQAAA4AAAAA&#10;AAAAAAAAAAAALgIAAGRycy9lMm9Eb2MueG1sUEsBAi0AFAAGAAgAAAAhAK/dQ2jjAAAACwEAAA8A&#10;AAAAAAAAAAAAAAAAkQQAAGRycy9kb3ducmV2LnhtbFBLBQYAAAAABAAEAPMAAAChBQAAAAA=&#10;" fillcolor="#509d2f">
                <v:stroke startarrowwidth="narrow" startarrowlength="short" endarrowwidth="narrow" endarrowlength="short" joinstyle="round"/>
                <v:textbox inset="2.53958mm,1.26875mm,2.53958mm,1.26875mm">
                  <w:txbxContent>
                    <w:p w:rsidR="004F7046" w:rsidRDefault="00490931">
                      <w:pPr>
                        <w:jc w:val="center"/>
                        <w:textDirection w:val="btLr"/>
                      </w:pPr>
                      <w:r>
                        <w:rPr>
                          <w:b/>
                          <w:color w:val="FFFFFF"/>
                          <w:sz w:val="24"/>
                        </w:rPr>
                        <w:t>2</w:t>
                      </w:r>
                      <w:r w:rsidR="00CE5DC6">
                        <w:rPr>
                          <w:b/>
                          <w:color w:val="FFFFFF"/>
                          <w:sz w:val="24"/>
                        </w:rPr>
                        <w:t>1</w:t>
                      </w:r>
                    </w:p>
                  </w:txbxContent>
                </v:textbox>
              </v:rect>
            </w:pict>
          </mc:Fallback>
        </mc:AlternateContent>
      </w:r>
      <w:r w:rsidR="00596917">
        <w:t xml:space="preserve">17.Cuevas Ojeda AM, Marianelli LG. Características clínico-epidemiológicas de la infección por SARS-CoV2 en pacientes internados. Me [Internet]. 4 de abril de 2023 [citado 26 de agosto de 2024]; 8 (2). Disponible </w:t>
      </w:r>
      <w:r w:rsidR="00596917">
        <w:lastRenderedPageBreak/>
        <w:t>en: https://methodo.ucc.edu.ar/index.php/methodo/article/view/360</w:t>
      </w:r>
    </w:p>
    <w:p w:rsidR="004F7046" w:rsidRDefault="00596917" w:rsidP="0075655E">
      <w:pPr>
        <w:pStyle w:val="Biblio"/>
      </w:pPr>
      <w:r>
        <w:t xml:space="preserve">18. </w:t>
      </w:r>
      <w:proofErr w:type="spellStart"/>
      <w:r>
        <w:t>Laurora</w:t>
      </w:r>
      <w:proofErr w:type="spellEnd"/>
      <w:r>
        <w:t xml:space="preserve"> M, Gómez LV, Flamenco </w:t>
      </w:r>
      <w:proofErr w:type="spellStart"/>
      <w:r>
        <w:t>Marucco</w:t>
      </w:r>
      <w:proofErr w:type="spellEnd"/>
      <w:r>
        <w:t xml:space="preserve"> A, Santoro FM, </w:t>
      </w:r>
      <w:proofErr w:type="spellStart"/>
      <w:r>
        <w:t>Ottonello</w:t>
      </w:r>
      <w:proofErr w:type="spellEnd"/>
      <w:r>
        <w:t xml:space="preserve"> F, Rearte R. Factores de riesgo asociados a mortalidad en personas con COVID-19: estudio de supervivencia en Argentina, 2020. </w:t>
      </w:r>
      <w:proofErr w:type="spellStart"/>
      <w:r>
        <w:t>Rev</w:t>
      </w:r>
      <w:proofErr w:type="spellEnd"/>
      <w:r>
        <w:t xml:space="preserve"> Argent Salud Publica. 2021;13 </w:t>
      </w:r>
      <w:proofErr w:type="spellStart"/>
      <w:r>
        <w:t>Supl</w:t>
      </w:r>
      <w:proofErr w:type="spellEnd"/>
      <w:r>
        <w:t xml:space="preserve"> COVID-19: e45. Publicación electrónica 30 Dic 2021. [Citado el 10 de julio de 2022]. </w:t>
      </w:r>
    </w:p>
    <w:p w:rsidR="004F7046" w:rsidRPr="008B5940" w:rsidRDefault="00596917" w:rsidP="0075655E">
      <w:pPr>
        <w:pStyle w:val="Biblio"/>
        <w:rPr>
          <w:lang w:val="en-US"/>
        </w:rPr>
      </w:pPr>
      <w:r>
        <w:t xml:space="preserve">19. Comisión Clínica - Centro de Operaciones de Emergencia Provincia de Córdoba. Perfil de evolución clínica de las personas internadas con diagnóstico de COVID-19 asistidas en la Provincia de Córdoba. Actualización. Informe correspondiente al periodo del 06 de marzo al 24 de octubre de 2020; pág. 1-10. </w:t>
      </w:r>
      <w:r w:rsidRPr="008B5940">
        <w:rPr>
          <w:lang w:val="en-US"/>
        </w:rPr>
        <w:t>[</w:t>
      </w:r>
      <w:proofErr w:type="spellStart"/>
      <w:r w:rsidRPr="008B5940">
        <w:rPr>
          <w:lang w:val="en-US"/>
        </w:rPr>
        <w:t>Citado</w:t>
      </w:r>
      <w:proofErr w:type="spellEnd"/>
      <w:r w:rsidRPr="008B5940">
        <w:rPr>
          <w:lang w:val="en-US"/>
        </w:rPr>
        <w:t xml:space="preserve"> el 10 de </w:t>
      </w:r>
      <w:proofErr w:type="spellStart"/>
      <w:r w:rsidRPr="008B5940">
        <w:rPr>
          <w:lang w:val="en-US"/>
        </w:rPr>
        <w:t>julio</w:t>
      </w:r>
      <w:proofErr w:type="spellEnd"/>
      <w:r w:rsidRPr="008B5940">
        <w:rPr>
          <w:lang w:val="en-US"/>
        </w:rPr>
        <w:t xml:space="preserve"> de 2022]. </w:t>
      </w:r>
    </w:p>
    <w:p w:rsidR="004F7046" w:rsidRPr="008B5940" w:rsidRDefault="00596917" w:rsidP="0075655E">
      <w:pPr>
        <w:pStyle w:val="Biblio"/>
        <w:rPr>
          <w:lang w:val="en-US"/>
        </w:rPr>
      </w:pPr>
      <w:r w:rsidRPr="008B5940">
        <w:rPr>
          <w:lang w:val="en-US"/>
        </w:rPr>
        <w:t xml:space="preserve">20. </w:t>
      </w:r>
      <w:proofErr w:type="spellStart"/>
      <w:r w:rsidRPr="008B5940">
        <w:rPr>
          <w:lang w:val="en-US"/>
        </w:rPr>
        <w:t>Grifoni</w:t>
      </w:r>
      <w:proofErr w:type="spellEnd"/>
      <w:r w:rsidRPr="008B5940">
        <w:rPr>
          <w:lang w:val="en-US"/>
        </w:rPr>
        <w:t xml:space="preserve"> E, </w:t>
      </w:r>
      <w:proofErr w:type="spellStart"/>
      <w:r w:rsidRPr="008B5940">
        <w:rPr>
          <w:lang w:val="en-US"/>
        </w:rPr>
        <w:t>Valoriani</w:t>
      </w:r>
      <w:proofErr w:type="spellEnd"/>
      <w:r w:rsidRPr="008B5940">
        <w:rPr>
          <w:lang w:val="en-US"/>
        </w:rPr>
        <w:t xml:space="preserve"> A, </w:t>
      </w:r>
      <w:proofErr w:type="spellStart"/>
      <w:r w:rsidRPr="008B5940">
        <w:rPr>
          <w:lang w:val="en-US"/>
        </w:rPr>
        <w:t>Cei</w:t>
      </w:r>
      <w:proofErr w:type="spellEnd"/>
      <w:r w:rsidRPr="008B5940">
        <w:rPr>
          <w:lang w:val="en-US"/>
        </w:rPr>
        <w:t xml:space="preserve"> F, </w:t>
      </w:r>
      <w:proofErr w:type="spellStart"/>
      <w:r w:rsidRPr="008B5940">
        <w:rPr>
          <w:lang w:val="en-US"/>
        </w:rPr>
        <w:t>Vannucchi</w:t>
      </w:r>
      <w:proofErr w:type="spellEnd"/>
      <w:r w:rsidRPr="008B5940">
        <w:rPr>
          <w:lang w:val="en-US"/>
        </w:rPr>
        <w:t xml:space="preserve"> V, Moroni F, </w:t>
      </w:r>
      <w:proofErr w:type="spellStart"/>
      <w:r w:rsidRPr="008B5940">
        <w:rPr>
          <w:lang w:val="en-US"/>
        </w:rPr>
        <w:t>Pelagatti</w:t>
      </w:r>
      <w:proofErr w:type="spellEnd"/>
      <w:r w:rsidRPr="008B5940">
        <w:rPr>
          <w:lang w:val="en-US"/>
        </w:rPr>
        <w:t xml:space="preserve"> L, </w:t>
      </w:r>
      <w:proofErr w:type="spellStart"/>
      <w:r w:rsidRPr="008B5940">
        <w:rPr>
          <w:lang w:val="en-US"/>
        </w:rPr>
        <w:t>Tarquini</w:t>
      </w:r>
      <w:proofErr w:type="spellEnd"/>
      <w:r w:rsidRPr="008B5940">
        <w:rPr>
          <w:lang w:val="en-US"/>
        </w:rPr>
        <w:t xml:space="preserve"> R, </w:t>
      </w:r>
      <w:proofErr w:type="spellStart"/>
      <w:r w:rsidRPr="008B5940">
        <w:rPr>
          <w:lang w:val="en-US"/>
        </w:rPr>
        <w:t>Landini</w:t>
      </w:r>
      <w:proofErr w:type="spellEnd"/>
      <w:r w:rsidRPr="008B5940">
        <w:rPr>
          <w:lang w:val="en-US"/>
        </w:rPr>
        <w:t xml:space="preserve"> G, </w:t>
      </w:r>
      <w:proofErr w:type="spellStart"/>
      <w:r w:rsidRPr="008B5940">
        <w:rPr>
          <w:lang w:val="en-US"/>
        </w:rPr>
        <w:t>Masotti</w:t>
      </w:r>
      <w:proofErr w:type="spellEnd"/>
      <w:r w:rsidRPr="008B5940">
        <w:rPr>
          <w:lang w:val="en-US"/>
        </w:rPr>
        <w:t xml:space="preserve"> L. The CALL Score for Predicting Outcomes in Patients With COVID-19. Clin Infect Dis. 2021 Jan 23;72(1):182-183. </w:t>
      </w:r>
      <w:proofErr w:type="spellStart"/>
      <w:r w:rsidRPr="008B5940">
        <w:rPr>
          <w:lang w:val="en-US"/>
        </w:rPr>
        <w:t>doi</w:t>
      </w:r>
      <w:proofErr w:type="spellEnd"/>
      <w:r w:rsidRPr="008B5940">
        <w:rPr>
          <w:lang w:val="en-US"/>
        </w:rPr>
        <w:t>: 10.1093/</w:t>
      </w:r>
      <w:proofErr w:type="spellStart"/>
      <w:r w:rsidRPr="008B5940">
        <w:rPr>
          <w:lang w:val="en-US"/>
        </w:rPr>
        <w:t>cid</w:t>
      </w:r>
      <w:proofErr w:type="spellEnd"/>
      <w:r w:rsidRPr="008B5940">
        <w:rPr>
          <w:lang w:val="en-US"/>
        </w:rPr>
        <w:t>/ciaa686. PMID: 32474605; PMCID: PMC7314186.</w:t>
      </w:r>
    </w:p>
    <w:p w:rsidR="004F7046" w:rsidRPr="008B5940" w:rsidRDefault="00596917" w:rsidP="0075655E">
      <w:pPr>
        <w:pStyle w:val="Biblio"/>
        <w:rPr>
          <w:rFonts w:ascii="Calibri" w:eastAsia="Calibri" w:hAnsi="Calibri" w:cs="Calibri"/>
          <w:sz w:val="22"/>
          <w:szCs w:val="22"/>
          <w:lang w:val="en-US"/>
        </w:rPr>
      </w:pPr>
      <w:r>
        <w:t>21. Martín-Rodríguez F, Martín-</w:t>
      </w:r>
      <w:proofErr w:type="spellStart"/>
      <w:r>
        <w:t>Conty</w:t>
      </w:r>
      <w:proofErr w:type="spellEnd"/>
      <w:r>
        <w:t xml:space="preserve"> JL, Sanz-García A, Rodríguez VC, </w:t>
      </w:r>
      <w:proofErr w:type="spellStart"/>
      <w:r>
        <w:t>Rabbione</w:t>
      </w:r>
      <w:proofErr w:type="spellEnd"/>
      <w:r>
        <w:t xml:space="preserve"> GO, </w:t>
      </w:r>
      <w:proofErr w:type="spellStart"/>
      <w:r>
        <w:t>Cebrían</w:t>
      </w:r>
      <w:proofErr w:type="spellEnd"/>
      <w:r>
        <w:t xml:space="preserve"> Ruíz I, et al. </w:t>
      </w:r>
      <w:r w:rsidRPr="008B5940">
        <w:rPr>
          <w:lang w:val="en-US"/>
        </w:rPr>
        <w:t>Early Warning</w:t>
      </w:r>
      <w:r w:rsidRPr="008B5940">
        <w:rPr>
          <w:i/>
          <w:lang w:val="en-US"/>
        </w:rPr>
        <w:t xml:space="preserve"> Scores</w:t>
      </w:r>
      <w:r w:rsidRPr="008B5940">
        <w:rPr>
          <w:lang w:val="en-US"/>
        </w:rPr>
        <w:t xml:space="preserve"> in patients with suspected COVID-19 infection in emergency departments. J Pers Med. 2021:11.</w:t>
      </w:r>
    </w:p>
    <w:p w:rsidR="004F7046" w:rsidRDefault="0075655E">
      <w:pPr>
        <w:pBdr>
          <w:top w:val="nil"/>
          <w:left w:val="nil"/>
          <w:bottom w:val="nil"/>
          <w:right w:val="nil"/>
          <w:between w:val="nil"/>
        </w:pBdr>
        <w:spacing w:after="120"/>
        <w:rPr>
          <w:color w:val="000000"/>
          <w:szCs w:val="2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5650611</wp:posOffset>
                </wp:positionH>
                <wp:positionV relativeFrom="paragraph">
                  <wp:posOffset>3893820</wp:posOffset>
                </wp:positionV>
                <wp:extent cx="434528" cy="389452"/>
                <wp:effectExtent l="0" t="0" r="0" b="0"/>
                <wp:wrapNone/>
                <wp:docPr id="1067" name="Rectángulo 106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4F7046" w:rsidRDefault="00490931">
                            <w:pPr>
                              <w:jc w:val="center"/>
                              <w:textDirection w:val="btLr"/>
                            </w:pPr>
                            <w:r>
                              <w:rPr>
                                <w:b/>
                                <w:color w:val="FFFFFF"/>
                                <w:sz w:val="24"/>
                              </w:rPr>
                              <w:t>2</w:t>
                            </w:r>
                            <w:r w:rsidR="00CE5DC6">
                              <w:rPr>
                                <w:b/>
                                <w:color w:val="FFFFFF"/>
                                <w:sz w:val="24"/>
                              </w:rPr>
                              <w:t>2</w:t>
                            </w:r>
                          </w:p>
                        </w:txbxContent>
                      </wps:txbx>
                      <wps:bodyPr spcFirstLastPara="1" wrap="square" lIns="91425" tIns="45675" rIns="91425" bIns="45675" anchor="t" anchorCtr="0">
                        <a:noAutofit/>
                      </wps:bodyPr>
                    </wps:wsp>
                  </a:graphicData>
                </a:graphic>
              </wp:anchor>
            </w:drawing>
          </mc:Choice>
          <mc:Fallback>
            <w:pict>
              <v:rect id="Rectángulo 1067" o:spid="_x0000_s1033" style="position:absolute;left:0;text-align:left;margin-left:444.95pt;margin-top:306.6pt;width:34.2pt;height:30.65pt;flip:x;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zNwIAAHAEAAAOAAAAZHJzL2Uyb0RvYy54bWysVG2O0zAQ/Y/EHSz/p0m7/dhGTVdoSwFp&#10;BRULB5g6dmLJsY3tNulxOAsXY+yUbheQkBD9Yc14ps9v3sxkdde3ihy589Loko5HOSVcM1NJXZf0&#10;y+ftq1tKfABdgTKal/TEPb1bv3yx6mzBJ6YxquKOIIj2RWdL2oRgiyzzrOEt+JGxXGNQGNdCQNfV&#10;WeWgQ/RWZZM8n2edcZV1hnHv8XYzBOk64QvBWfgohOeBqJIit5BOl859PLP1CoragW0kO9OAf2DR&#10;gtT46AVqAwHIwcnfoFrJnPFGhBEzbWaEkIynGrCacf5LNY8NWJ5qQXG8vcjk/x8s+3DcOSIr7F0+&#10;X1CiocUufULdvn/T9UEZku5Rps76ArMf7c6dPY9mrLkXriVCSfsOUZIKWBfpk8ini8i8D4Th5fRm&#10;OpvgVDAM3dwu0YlNyAaYCGedD2+5aUk0SuqQSwKF44MPQ+rPlJjujZLVViqVHFfv75UjR8B+z/Ll&#10;ZrI9oz9LU5p0JV3OJjPkATh2QkFAs7UohNd1eu/ZP/w1cJ5+fwKOxDbgm4FAQohpUDhz0FWyGg7V&#10;G12RcLKotMatoJGMbylRHHcIjZQXQKq/56FuSqN8sTtDP6IV+n2fmrqIWPFmb6oTNtpbtpXI8QF8&#10;2IHDUR/j6zj++O7XAzjkot5rnK/leBrFCcmZzuYLdNx1ZH8dAc0ag1uFGg7mfUg7FivX5vUhGCFT&#10;656onDnjWKfmn1cw7s21n7KePhTrHwAAAP//AwBQSwMEFAAGAAgAAAAhAPLWV0vjAAAACwEAAA8A&#10;AABkcnMvZG93bnJldi54bWxMj8FOwzAMhu9IvENkJC6IpdvoaEvTCU1DXAaCDYlr2pi2rHGmJt26&#10;t8ec4Gj70+/vz5ej7cQRe986UjCdRCCQKmdaqhV87J5uExA+aDK6c4QKzuhhWVxe5Doz7kTveNyG&#10;WnAI+UwraEI4ZFL6qkGr/cQdkPj25XqrA499LU2vTxxuOzmLooW0uiX+0OgDrhqs9tvBKvDnYXez&#10;eX5Zv+1lbL7X5Wu5+kSlrq/GxwcQAcfwB8OvPqtDwU6lG8h40SlIkjRlVMFiOp+BYCKNkzmIkjf3&#10;dzHIIpf/OxQ/AAAA//8DAFBLAQItABQABgAIAAAAIQC2gziS/gAAAOEBAAATAAAAAAAAAAAAAAAA&#10;AAAAAABbQ29udGVudF9UeXBlc10ueG1sUEsBAi0AFAAGAAgAAAAhADj9If/WAAAAlAEAAAsAAAAA&#10;AAAAAAAAAAAALwEAAF9yZWxzLy5yZWxzUEsBAi0AFAAGAAgAAAAhAL5THbM3AgAAcAQAAA4AAAAA&#10;AAAAAAAAAAAALgIAAGRycy9lMm9Eb2MueG1sUEsBAi0AFAAGAAgAAAAhAPLWV0vjAAAACwEAAA8A&#10;AAAAAAAAAAAAAAAAkQQAAGRycy9kb3ducmV2LnhtbFBLBQYAAAAABAAEAPMAAAChBQAAAAA=&#10;" fillcolor="#509d2f">
                <v:stroke startarrowwidth="narrow" startarrowlength="short" endarrowwidth="narrow" endarrowlength="short" joinstyle="round"/>
                <v:textbox inset="2.53958mm,1.26875mm,2.53958mm,1.26875mm">
                  <w:txbxContent>
                    <w:p w:rsidR="004F7046" w:rsidRDefault="00490931">
                      <w:pPr>
                        <w:jc w:val="center"/>
                        <w:textDirection w:val="btLr"/>
                      </w:pPr>
                      <w:r>
                        <w:rPr>
                          <w:b/>
                          <w:color w:val="FFFFFF"/>
                          <w:sz w:val="24"/>
                        </w:rPr>
                        <w:t>2</w:t>
                      </w:r>
                      <w:r w:rsidR="00CE5DC6">
                        <w:rPr>
                          <w:b/>
                          <w:color w:val="FFFFFF"/>
                          <w:sz w:val="24"/>
                        </w:rPr>
                        <w:t>2</w:t>
                      </w:r>
                    </w:p>
                  </w:txbxContent>
                </v:textbox>
              </v:rect>
            </w:pict>
          </mc:Fallback>
        </mc:AlternateContent>
      </w:r>
      <w:r w:rsidR="00596917">
        <w:rPr>
          <w:rFonts w:ascii="Calibri" w:eastAsia="Calibri" w:hAnsi="Calibri" w:cs="Calibri"/>
          <w:noProof/>
          <w:color w:val="000000"/>
          <w:sz w:val="22"/>
          <w:szCs w:val="22"/>
        </w:rPr>
        <mc:AlternateContent>
          <mc:Choice Requires="wpg">
            <w:drawing>
              <wp:inline distT="0" distB="0" distL="0" distR="0">
                <wp:extent cx="1024128" cy="451104"/>
                <wp:effectExtent l="0" t="0" r="5080" b="6350"/>
                <wp:docPr id="1073" name="Grupo 1073"/>
                <wp:cNvGraphicFramePr/>
                <a:graphic xmlns:a="http://schemas.openxmlformats.org/drawingml/2006/main">
                  <a:graphicData uri="http://schemas.microsoft.com/office/word/2010/wordprocessingGroup">
                    <wpg:wgp>
                      <wpg:cNvGrpSpPr/>
                      <wpg:grpSpPr>
                        <a:xfrm>
                          <a:off x="0" y="0"/>
                          <a:ext cx="1024128" cy="451104"/>
                          <a:chOff x="4793550" y="3503775"/>
                          <a:chExt cx="1104900" cy="552450"/>
                        </a:xfrm>
                      </wpg:grpSpPr>
                      <wpg:grpSp>
                        <wpg:cNvPr id="1" name="Grupo 1"/>
                        <wpg:cNvGrpSpPr/>
                        <wpg:grpSpPr>
                          <a:xfrm>
                            <a:off x="4793550" y="3503775"/>
                            <a:ext cx="1104900" cy="552450"/>
                            <a:chOff x="0" y="0"/>
                            <a:chExt cx="11701" cy="4312"/>
                          </a:xfrm>
                        </wpg:grpSpPr>
                        <wps:wsp>
                          <wps:cNvPr id="2" name="Rectángulo 2"/>
                          <wps:cNvSpPr/>
                          <wps:spPr>
                            <a:xfrm>
                              <a:off x="0" y="0"/>
                              <a:ext cx="11700" cy="4300"/>
                            </a:xfrm>
                            <a:prstGeom prst="rect">
                              <a:avLst/>
                            </a:prstGeom>
                            <a:noFill/>
                            <a:ln>
                              <a:noFill/>
                            </a:ln>
                          </wps:spPr>
                          <wps:txbx>
                            <w:txbxContent>
                              <w:p w:rsidR="004F7046" w:rsidRDefault="004F7046">
                                <w:pPr>
                                  <w:jc w:val="left"/>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33">
                              <a:alphaModFix/>
                            </a:blip>
                            <a:srcRect/>
                            <a:stretch/>
                          </pic:blipFill>
                          <pic:spPr>
                            <a:xfrm>
                              <a:off x="0" y="0"/>
                              <a:ext cx="11673" cy="4069"/>
                            </a:xfrm>
                            <a:prstGeom prst="rect">
                              <a:avLst/>
                            </a:prstGeom>
                            <a:noFill/>
                            <a:ln>
                              <a:noFill/>
                            </a:ln>
                          </pic:spPr>
                        </pic:pic>
                      </wpg:grpSp>
                    </wpg:wgp>
                  </a:graphicData>
                </a:graphic>
              </wp:inline>
            </w:drawing>
          </mc:Choice>
          <mc:Fallback>
            <w:pict>
              <v:group id="Grupo 1073" o:spid="_x0000_s1034" style="width:80.65pt;height:35.5pt;mso-position-horizontal-relative:char;mso-position-vertical-relative:line" coordorigin="47935,35037" coordsize="11049,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BMEwQAAHMLAAAOAAAAZHJzL2Uyb0RvYy54bWzMVttu3DYQfS/QfyD0&#10;Hq+kvWUFr4Miro0AaWM4KfpMUdSKCCWyJLVa52/6Lf2xzpCidr1OGyctihrwipfh8MzMmeFcvjq0&#10;kuy5sUJ12yS7SBPCO6Yq0e22yS8fbl68TIh1tKuoVB3fJg/cJq+uvv/uctAFz1WjZMUNASWdLQa9&#10;TRrndDGbWdbwltoLpXkHm7UyLXUwNbtZZegA2ls5y9N0NRuUqbRRjFsLq9dhM7ny+uuaM/euri13&#10;RG4TwOb8r/G/Jf7Ori5psTNUN4KNMOg3oGip6ODSSdU1dZT0RjxR1QpmlFW1u2Cqnam6Fox7G8Ca&#10;LD2z5taoXntbdsWw05ObwLVnfvpmtezn/Z0hooLYpet5QjraQpRuTa8V8SvgoEHvCpC7Nfq9vjPj&#10;wi7M0OZDbVr8gjXk4F37MLmWHxxhsJil+SLLgQwM9hbLLEsXwfesgQDhscV6M18uIUYgMF+m8/V6&#10;GSV+jErg1CYFEVSyXOYLEAc4swhhhkgnYNNksiBaemYm6vhKG/8S7GTv56HSYrI3WDoykDVHG9dp&#10;NrppnuV/ax+kjD2ywv4zVrxvqOaebBajPfoqj766h1T64/du10tFPKpBe7mJErawwI5n8yFbx0Au&#10;5jA6DSMttLHulquW4GCbGLjbZxfdv7UuiEYRvLBTN0JKWKeF7B4tADVwBYgR4eHIHcqD5/zLEHpb&#10;lKp6AIutZjcCrnxLrbujBioBhGKA6rBN7G89NTwh8k0Hjt5ki3wJ5eR0Yk4n5emEdqxRUHSYMwkJ&#10;k9fOF6EA9ofeqVp4wxBeADOihggjO/+DUE/Zf4PVlkhRGl4QX3rJPDoKmPHliEOaY5bn6QqP0eKY&#10;FKsN3ILZm4W9KXUhMfoQczwQ4wz1tAoRh7Umjtihi0NkBpZ26Uu7Swh4FXwMpb0MV2vq8BwqxSEZ&#10;4OpstckzwNF4GCtACwBNj0/Yu49YuVC6VXv+Qflz7qyqAejjruxOpSbdYGIkdZSIX+31nUqCMwBF&#10;4HWUit8gHYrFc+Ue3wxw0XRfJyd3wOKpw62SosIkQoOt2ZWvpSF7io+m/xvBPRJ7Vqr9zxNLC1bA&#10;//iywuhJDf1yBwKnXI+lIXQx7bN0tNR87PULaAIgJKIUUrgH39AA+RBUt78TDMspTo7lOFvEeuzL&#10;NYE50CbK4Akombzm5p5L0Lvn99yKT/CiB0o80VxKoTHsxCj3q3CN14pVD3mAm6NRkFZnHcdn/BK6&#10;mWvF+pZ3LrRnxuNQnW2EtpCeBW9LDt2GeVOFS6jUDf1JAfkOIQHw1sBChm8OLAIjneGONSiAJkTU&#10;wfKve3ZW2OX4JiRdbUZaxwYmvin/2rODYAM8jxumvqqPTco4hs7O5+bYhWLreDr3Usde+epP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K6Zn1XbAAAABAEAAA8AAABkcnMvZG93bnJl&#10;di54bWxMj0FrwkAQhe+F/odlCt7qZiu1Jc1GRFpPIlQLpbcxOybB7GzIrkn89129tJeBx3u89022&#10;GG0jeup87ViDmiYgiAtnai41fO0/Hl9B+IBssHFMGi7kYZHf32WYGjfwJ/W7UIpYwj5FDVUIbSql&#10;Lyqy6KeuJY7e0XUWQ5RdKU2HQyy3jXxKkrm0WHNcqLClVUXFaXe2GtYDDsuZeu83p+Pq8rN/3n5v&#10;FGk9eRiXbyACjeEvDFf8iA55ZDq4MxsvGg3xkXC7V2+uZiAOGl5UAjLP5H/4/BcAAP//AwBQSwME&#10;CgAAAAAAAAAhAH5bxC0lLAAAJSwAABQAAABkcnMvbWVkaWEvaW1hZ2UxLmpwZ//Y/+AAEEpGSUYA&#10;AQEBANwA3AAA/9sAQwACAQEBAQECAQEBAgICAgIEAwICAgIFBAQDBAYFBgYGBQYGBgcJCAYHCQcG&#10;BggLCAkKCgoKCgYICwwLCgwJCgoK/9sAQwECAgICAgIFAwMFCgcGBwoKCgoKCgoKCgoKCgoKCgoK&#10;CgoKCgoKCgoKCgoKCgoKCgoKCgoKCgoKCgoKCgoKCgoK/8AAEQgAXgD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v8A2bP2D/hN/wAFPPhj&#10;F+3n+2trXiDxV47+JOpXmpXc39tSpDp9uLqWOGzgBziKNEAVc4UcAAYz6B/w4b/4J44+XwLrX/g+&#10;k/wrsP8AgjkM/wDBNr4X5/6Bd1/6XXFfTWQBWPNLmOeUpcz1PjM/8EG/+CePfwJrX/g+kpP+HDv/&#10;AATuA58Ca1/4PpK9t/a//bS+C37F/wAOJfHvxX1n96ysNN0e3YG5vZMcIi/+zHgd6/Ib9oj/AILX&#10;/trftI+KpdA+Cr3HhXS5mZLPS9BtzNdyL23OASW/3Riq99hTVSXU/Qk/8EJf+Cdedv8AwhWrfT/h&#10;IHqQf8EHv+Cd7f8AMiaz+GvSf4V+X8Hgz/gsdq8S+I7fw58ZpEmHmLMtveYIPOQMdK2PhP8A8FYP&#10;+Ch/7JfiqLRfiTq2qalbW8m260PxhYurkA8hWYBlP5inyy7mnLU7n6UL/wAEGv8AgniengXWv/B9&#10;JTh/wQZ/4J5Z/wCRE1r/AMH0n+Fdz+wH/wAFK/gp+3V4Yz4dlOj+J7SIf2p4cvJB5iH+/Gf409x0&#10;719JBwan3kYSdSO7PjT/AIcN/wDBPH/oRNa/8H0n+FH/AA4e/wCCd3/Qi61/4PpP8K+y2Py8Gvnr&#10;/goT+3z8Ov2D/hK3izxCq3/iHUt0PhvQo3G65kx99v7sa9SfYDqaXvMIupJ2PL9U/wCCGv8AwTa0&#10;iBrrVfC+qWsajLST+InVR+dY2nf8Ecv+CUWs3JsdIna5mXgxw+L9zfkDXzx+z1/wT2/4LMf8FxdS&#10;k+LTeIpvCvgW7uCLXVNaupLPT0XP3YYU+eYDpkA5r3Lxd/wZp/tueCfDreJPhH+2N4T1HXoYS8lj&#10;Gt5ZtNJ/dSXGB9WxWijK25vyS7nZp/wQf/4J3Ou+PwPrLK3IYa9JUi/8EGv+CeXT/hBNa/8AB9J/&#10;hXyd4C/a+/4KEf8ABIH49237O/8AwUL8JaxfeG5ZBHJJfMZniiJH7+2n6TIoOSuSSPfg/rJ4B8de&#10;FfiT4Q07x54J1mHUNJ1azS5sb23YMksbDIINS+ZGcvaR6nyb/wAOG/8AgngOT4E1r/wfSf4Ujf8A&#10;BB3/AIJ3k7R4E1r/AMH0n+FfZbOvrX57/wDBUj/grJrvwd8Ur+yx+ydZtrHj6+dYLy9toTN9idzg&#10;RRqM75Tn6LUqUnoKPPJ2Oo1//gih/wAEwvCy7/EmnXVgP+nzxQ0f/oRFJoP/AARW/wCCXnigf8U3&#10;Y3F/j/nz8VGT/wBBJryr4Bf8GyX/AAVp/bw0iH4u/tNfG208FwarsmW38WX1xcXkkbHJ/cRZERx/&#10;C2Ku/HH/AINXf+CqP7H2kyfE79lb4/ab4xbTw0w07w3f3FjehQM8RyYWQnn5VzVcsu5ryz7nrqf8&#10;EHf+CdxYqPA2t5HX/ifSf4U7/hw1/wAE8T/zIut/+D6T/CvI/wDgmt/wVl+Id58T3/Y5/bp06bSP&#10;GFrdGzsdW1G38iR7hTj7PcKcbXPZuhP4V+ksTqwyppe8tDOTqR3PjVv+CDn/AATxxz4D1r/wfSU1&#10;v+CDv/BO5F3v4G1oD/sOyCvsDxL4h0Xwtod14j8RalDaWNjbtPeXU8gVIo1GSzE9sV+Tnx7/AG9v&#10;23f+Cnn7QEv7Jv8AwTa8K60dK85oTeaShS4vEVsNPLN0gh79Rx+VNczCHtJH0Jq3/BHL/glHoV19&#10;h1qb7JMePLuPF2xj+BNa+lf8EN/+CbGtQLdaR4Y1K6jYZWS38SO6/pmuO+Hv/BnB+3V8TfD6+L/j&#10;r+1x4Y0fWriPzF06Q3V9LBIecPKBt6/3Sa8g/aR/4JNf8Fn/APgjMrfGXwR44k8X+D9MYSXmpeGr&#10;ua5tVQdfOtZPnVMdTiq5ZW3NOWXc+mv+HDn/AATw6/8ACC63/wCD6Sq2sf8ABCD9hSHTZ5PCOj+I&#10;tH1SOFn03VrXXpPMs7gDMcy9OVYBhyOQORXYf8E0/wDgpL4I/bu+H7RXsEeleNNHjVdc0bcP3nbz&#10;ou5Qnt1B4r6guObd8f3G/lU3lszLmqRlZn5C+HP+Do3/AIKdfCvw9Y/DBvFml6sfDdnFpf8AampK&#10;XuLz7Ogi86Vm5aR9m5ieSSc0V+b3xA/5HzW/+wvc/wDo1qK0Ok/oG/4I4/8AKNv4Yf8AYMuv/S64&#10;r2v45fGTwh8AvhVrfxb8d3qwabodi9xMzMAXIHCL/tE4ArxP/gjoxH/BNr4XH/qF3X/pdcV8i/8A&#10;Bxn+01fQW3hX9lPw3dSf6Z/xNtaSMn94uSsMZ9QWy2PVaxteRzcvNKx82+Avhx+1p/wXv/b4/wCE&#10;S8EW0wW8n3eZICbTw7pYbAdu3T8Wav6XP+Cbf/BEX9in/gnN8NtN0bwT8N7DxD4sW3U6x40120Se&#10;6u58Dcy7gREuc4VeAK8y/wCDb3/gmh4f/YN/YR0fxj4j0e3/AOE8+IlrFrHiK+8kCWCF1DQWu487&#10;VQgkdMtX6J+cEXGfetjp8kV49HsYI1hisYVRVwq+WMAemMV4L+2h/wAExP2Nv27vh7f+B/j38GNL&#10;vHurdkt9as7RIb20Y9JI5VAYMDzzX0J5u4ckVHJLuGwuMnpQB/IL/wAFLv8Agmr+0/8A8EKP2tNL&#10;8ZeBvEV5d+F5743Hg3xfHGVSdVbJtbgDjeBwV6MORX6sfsH/ALXvhT9tH9n3Sfi34fZI77aLbXbE&#10;N81pdqBvX6HqPYiv0c/4KffsH+Af+Cif7HXiz9nTxjp0LXt5YST+G76RMvZahGpMMint83yn2Jr+&#10;aj/giL8XfFP7LP7dPiL9kD4hPNAuu3Fxp0lqzELFqVoXwcH+8iuPfC1Mo8xFSN4n7QXt3BY2sl5c&#10;yBY40LyOxwFUDJP5V+YH/BPz9l/Wf+C/P/BXXWviN8SreST4Q/De4Wa/tfOISayikZba1X0ad1aR&#10;sdFLegr7S/4KQfETVfhb+wp8UvG2i3LQ3lv4RuYbWaNtrRSTgQK49wZQfwr1j/g0J+Afhz4Zf8Es&#10;l+LkGlRrq/xD8Z395eX2Bvlt7YrbQx5/uq0c7D3kappkUo9T9JtS8J2vww+Dt74Y+EXh+1sP7J8P&#10;zR6BptnCEjjdIW8pFUcfeC1+GP8Awbf/AB//AOCoHxC/4KpfErw1+0ZrHja+8ItpupS+KIfEkE32&#10;azv1uEFsIzIAEODIAq8FRz2r7S/4Ojv2u/2jv2N/2ANL8ffszfFXVPB+uah40tbO41bR5PLn8gqz&#10;FFfGVyRzjGRX8+ngD/guJ/wVcsfHGm3UP7cHjgmbVbc3KyaoSs/71eHGMMD0IPUcGtDY/qb/AOCp&#10;f/BNX4Nf8FNv2Wtc+CfxA0i3h1xbSSbwl4kWFTcaXfquY3DYzsLYV17qT3xX4U/8EPfjR8Tfgp8W&#10;fH3/AATV/aAWa01rwZfXUmk2V22Tbywy7Lq3XP8ACTiVe2CxHWv6Vfh1qN34g+H2h63qcnmXF5pN&#10;vPM+0cu0SsT+dfz1/wDBXfwLbfssf8HPXgf4i6GDDafFDSdJvroQx7VM06zaZKh/vEm3WQ/9dBSl&#10;rEUvhPoX/goJ+0vH+yb+yt4p+L8O1tQt7Q22kRs2A11L8kf5E5/CvCv+DTD9mT9lT4yfFTxP+198&#10;ePiroPiT4tLfOPDvhPUrpWurPJ3SXvlv/rHYnA252gdq86/4OFtZ1HxDonwl+BNndvFb+IvF2+4W&#10;N8b+kSg+uDJn6iuP/wCCqv8AwQR+L/8AwSQ+G+g/t4fswftD3f8AYdnJYi8LXT2uq6VeyoCDE8Yx&#10;Ihbd3UgetKmvdIpx90/XD/gsd/wcTfAb/gl3qo+C3gvw3D48+Jn2ffcaFHdGK20oMoKG5cc5YEHY&#10;vOO4r4+/4J3f8Hbv7SH7Vv7YPgX9mf4j/sieF/s/jzxVZ6NZ3XhfULlZ7Jp5lj85hKzK0caku3Q4&#10;U81+Pn7Kv7RHwL8f/t+aL+0P/wAFSf8AhI/iB4Xu9WN74yEMgmudRkx8hlBI3xhsFkBG4Db0JB/o&#10;+/YU/wCCjn/BCj9t39p7wT8JP2T/AIS6cvxA8P291qHg+6k+Hi2DaasNqyymOcD5D5JZcdwcVRoe&#10;H/8AB0r/AMEitH+LPwem/wCCi37PehPYePPAcQuPE0GkW4VtTsVILXB28mWHG4Ecldw5wK4n/glT&#10;+1gf2tv2R9D8W6xf+dr2jqNM14s3zvNGABIf95cHPc5r9sPiV4E0v4jfDjXfh/rNqs1rrWk3FlcQ&#10;yKNrrJGV5/Ov5s/+CF8N58JP2hvj9+zLNcfufDviiZIId2eYLqW3yPwFTP4SKmsTa/4LwftKeNY9&#10;E8K/sQ/B8TTeIfiFfRC8htZMSSxNKI4bcY/56SEZ9gO1frl/wSY/4J0fAb/gjr+wrHqHi59NsvES&#10;aG2tfE7xldYz5ixeZKu88rDGo2hR1256mvyb/ZE8D2f7X/8Awc96fY+MYWvNL+HNtNfQWky5QNaW&#10;4ROh7Syq491r7R/4O+f2urz4Nf8ABPKx/Zx8OXOtWOofE3xJbQ3V1Dp8gtZ9Nti008DXAG1XMiW+&#10;Y8gsmcZXNEfhHCPLFHlX7Q3/AAeifBnwP8Tbzwr+z/8Asv6h4s8P2dw8Sa7qWrC0N2AxG6OMKSqn&#10;sSe/Svtz/gln/wAFuf2RP+Cvfh/Ufhzo+jNoXiyKxZtW8Ea4UlM9vjDvGcbZU5weAfavhb/g2b/4&#10;I4/8E8v2jP2Ax+0n+0R8BIfHnijxFrF/Y3E/i7R5vsdlDG+xUsxJiOU4G43EYJDsyBgUYD4e/bh+&#10;Bkf/AAQf/wCC7PhW+/Z11S70vwp/aWm61osK3TyeTp1zKYp7N3YlpFXa/wB4ngrzVFHqf/BZv9ib&#10;Vf8AgiV/wUi8L/tn/s6WFxZ/DPxxqhkurGBcQ2khYfarLA/hKnemelfof4S8UaT428GWPjDQbkTW&#10;Wp6clzayD+JHTcD+Rrsv+Dmf4I+Hv2mP+COnif4iWFr51x4X+weJtGmVPm2EqrD2BSXJ/wB0V8k/&#10;8Eh/iPdfFD/gnR8P9fvvMM1rpk+mu0jZLfZZpIN34+Xmon0Mqi6n8/nxA/5HzW/+wvc/+jWoo8f/&#10;API963/2F7n/ANGtRVmp/QH/AMEdif8Ah218Lsf9Au6/9Lbivz5+MPh1/wBtP/g4H8O/B7W4zLYH&#10;x7pOj+U2CPs8OyRl9MElvzr9Bv8AgjoT/wAO2fhev/ULuv8A0tuK+J/+CeDWVt/wc0aWPE+3d/ws&#10;i6EPmf8APQxHy/x6VnH4jGnrUZ/RF/wVA/be8If8Ezv2HPFH7R8umWRn0OwSy8L6TKQkdzev8kEA&#10;AIO0Y3YH8KnpX88Pwl8X/wDByH/wVQ0vxR+3B8A/i98QZtF8O3c0kdt4f8UNp1o8kS+Y1vaWauq3&#10;LKuBt2uSfl5JxX6Z/wDB5lBrsn/BN3wrNY+Z9hj+Ilv9v2n5dxify8/jur0z/g04utGn/wCCMPgm&#10;DTpY/tEPibXlvlU/MJP7RnK599hX8K0Nj53/AGJf+C/f7Xfw0/4I9fEz9o39t34Q6tN4t+Hs1vpf&#10;gPxbrWmm1tvGF5cu0UUBwFDS27qWlKjDR4PBzXwJ8K9f/wCDkj/go34P8Rf8FAfgv8ZPiJP4f0O6&#10;nmjXRfFRsLV2i+d4bWyV1W4CDtsb0yTX6Bf8HfnirwZ4z/4JgfD3UPgxrelX/hu0+M0dvfNosiNF&#10;DOthfjYfL4Uht+Qecmvqz/g2Wv8Awbcf8EU/hOmhiEeRDqya0Nw4uP7RuS276xmPr2xQBU/4N1f2&#10;7v2yP22v2T76X9s/4XazZa54bvFtLHxhqGkm2i1+HHLYOAZUIwxUAGvxk/4Ld+AtK/Y5/wCDhlfH&#10;/hCyWztda8U6P4hkRMqha5ZBcEY7El+Olf1DfDLxZ8OPGHhxdQ+FetaTfaTDM8KPo0qNDG6sQyfJ&#10;wCDnIr+an/g7w23P/BWjwfDo7D7WfBumL+7+8JDcNt/HpQB9Vf8ABWOwn8Rf8E3PioljG0h/4RyO&#10;5+RT92O4hkY/QKpP0FfW3/Bqx4v07xT/AMEY/h3pljIrSaHrGtWF3jnbJ9vlnx9ds6/hXlfir4fa&#10;T8VPgjqHww8Tw+ZY+IPDMmnXi46pNB5Z4/4ETXzF/wAGnf7Zsn7Kn7RXxG/4JUfHnWG0251DxBNe&#10;+Ebe7XaralCDHcxAn/nrDHE6+vl8damJlT6o+5f+DoX9jr9oD9sj/gn1b+Ev2fvCC6ze+H/ES61q&#10;0Ul9DB5VnDE7SSZkZd2B/CMk1/MP+xb+yd8cv2xP2ktD+A/wA8Ix614onuDcxae99Fbho4GDSHfK&#10;yrwPfntX9rX7W7o37LXxG+dT/wAUTqn/AKSyV/Lb/wAGtxC/8FpvCRbj/iV6v/6LqjU/q4+Gul6h&#10;oXw+0XRdVi8u5s9Kt4LhdwO2RYlBGRwcEV+BP/BwfrFt4+/4OKv2efAXh1lnu9A8P6FNqWxx+6Y6&#10;pdzlCOzCJFf6SLX78fEbx/4O+F/gbVfiN461620zRdE0+W91K+upAscMMalmZie2BX8zv7K/xJ1b&#10;/gqf/wAFw/iZ/wAFBorCWPwroc0z6CbhDxAsQsrCM+jmFTKR2INKWwpaRLv/AAXvibR/i18BfGt4&#10;NtnZ+KdszscKMTQuf0XNfsz/AMFgfCnxv+M3/BLjVtP/AGY/g14b8f6zqei28y6X4mt7eWGKye1Y&#10;yXUfnsFEsaHcjA7g2Mc1+Zv/AAXD/Z1v/jj+xfeeJPDunST6x4Kv01iy8n7+xQVlx/wAk49RX6Af&#10;8G7n/BQDw7+3t/wTs8P+G9d1yO78YeBtPTQvFljKfndEXbFKR/dePAz6ilD4Safwn8t/7JX7D/7S&#10;P7cfxsn/AGef2bfBEGueLoLK4un0mbVbe0zHCyrIQ07orFSw4BJ9uK+prT/glX/wXL/4JI67p/7a&#10;3hb4Ga54ZvPDs7L/AG14c1C01MwRsp8wTxW8khELKCrFgF5xkEivVP8Agqr/AME9P20/+CLP/BQ+&#10;8/bN/Y80nVbXwjda3NqvhHxBo9u1wtkkpzLaXKgHC5YqQ3DLzXtP7FH/AAc2f8FNf2xv2svhH8A9&#10;Y+F+gzeHdS8a6XYePm8O+HZZZrmxkuES4ZixZYUEZdiDnp1qiz3/AP4Jj/8AB3T8LPiRdW3we/4K&#10;NeFo/A+vriJfGmnxt/Z1w44/fxH5rdj68r67eM/JH/BIPW9L+Kv/AAUW/aU+NHhe/iutH1LxHfS2&#10;F1bnMc8MuoSNHIpBIIZMHr3r6z/4Off+CZX/AATK+Fn7LuuftgN4fTwT8SLi4W20G18O7IotcvHO&#10;AssHTAGWZ1AIHXNeA/8ABvn+z3qXwv8A2WNS+K2vWbQ3HjbU/Ps1Zfm+yxDYrfQtk/hUy2JqfCan&#10;/BJXWI/h/wD8HP3jTRfEASGTxBoOpx2PmMBvLLDKuPUlUJ/A1+p3/BeX4gf8E8/CX7FP/CJ/8FKN&#10;G1ibwF4o1+Gys77QtMluLnT9SVHlhmjaNSYn2pIA3QgspyCRX4uf8FQ9X8X/ALA//BSz4Rf8FIvA&#10;2nzGytdQgGsvCvDtETHNEfd7dmA96/aP/goN+zN8K/8AguN/wSsuPDPwr8X20qeKtKtfEfw/1pWz&#10;HHqMSl4Q/orbpIX7qHPcVSCPwI9g/wCCcHxp/ZX+PH7GPgnx1+xNp6Wfwzj09tP8L2K2ZtzaxW0j&#10;wGNom+ZWDIxO7k53H72a/n2/4OpPF+k/HX/gsz4Q+EPw/u477UNL0HR9Kuvsz7jHeT3THyjjoygo&#10;T7MK8M+D/wC0H/wXJ/4I2XWufstfDnRfF3hm1utTmMmkyeHmvrb7UwCGe3bYwGQAcqcHqRX2F/wQ&#10;d/4IuftZftPftnx/8FH/APgoT4c1S30+w1I6zap4iyl7rWp5zG7RkZESdecdABQUfp1/wW61ez+C&#10;/wDwQr+IGieKpts0PgDTtH2+YMvcZgjwM9eVJ+gr8/8A/giFo2paL/wTQ8E2+pWzRtNJqlxGG/ij&#10;kvZ3RvxUg10X/B3h+25p3jXSvA//AATH+EV6b/xLrmvW+peIre1kDCLnZbQtjoxZixHpivV/2Y/h&#10;NB8Cf2cvCfwjhVVOg+HYbWXb3kWIbj+eamRnU2P5ofH/APyPet/9he5/9GtRR8QP+R81v/sL3P8A&#10;6NaiqND+gP8A4I7f8o2/hf8A9gu6/wDS24r8+P2hfETfsT/8F9PDvxu1YPHp6+NtJ1zze32eTZE5&#10;+gKtn6V+gv8AwR0Yj/gm18Lsf9A27A/8DZ6+Xf8Ag4p/Zbutd8H+G/2qvC+nyNPosn9ma60Mf3bd&#10;zmOQ98K/Geg3VnH4jGPuzZ+/H/BRP9jv4f8A/BTD9iLxL+z5fanbfZ/E2lx3fh7WSvmJbXSjzLe4&#10;Htz27Ma/np+Hf7A3/Byb/wAE6pfFX7Mn7MXhbxhH4X16dkub7wvfQPYyB/k+0Rs7hoWK9SACBX6y&#10;/wDBst/wVH8PftxfsXaf8D/G3iS1HxG+GVnHpupaeZNst3p6jbb3agn5hgbGI4BWv0ySPK5AHPNa&#10;Gx+M/wCw9/wbZeN4/wDglN8UP2d/2s/iNct8RPixJBqVrFLfPc2nhm7tWaW2dATgyvIxMzryykLn&#10;A5+APh1+wd/wcr/sIab4n/ZD/Z38I+MovCWtXUkNzceHr6B7CQP8hnid3DRblxkgA4r+pkQsOQP4&#10;s0jIgPX3+lAH5+f8G+H/AAS0+LX/AATW/Zp1QftA+PbvVPGXjK8W81LTf7Qea20tQOIkycFyTlmH&#10;U1+LP/BZn4i6T+2l/wAHD6+EPBl6l7Y6L4s0nQfNhbcjfZGQz49sq9f0D/8ABXP/AIKI+BP+Ca/7&#10;GHib46eINSt212a1ax8H6U0g8y+1CRSIwqnkqn3yegA96/nN/wCCFPwM8SftHftf+Jv2w/iJbT3M&#10;Wg3E9wt4ynZNql0WLc9CVjZjjtvU0pbClorn7LWsSwWy2yD7kagY+lfnR/wWF/YD+JVx410/9vj9&#10;ksX1t438OvFNrNvo5K3Eyw8x3UQXkyIBhgOWUD0r9GUJVvun16U10Ei7CFIPUMMg1lGVjmUuV3PB&#10;f+Cd/wDwdNfszfH74It+zr/wUrt7nwp4im0mTSdW8SW1uxtNRjaMxs7hfmhkIznjGc9K3vgHqH/B&#10;sF/wTm+KFn+1v8DP2idPbxNplrOLRbPVrq7kYSr8y+UVxk9OeleVftT/APBGb9jn9qLxDceNrvw5&#10;deF9eum3XOo+HZFiW4b+9JEQUJ9WABPc14loX/Bt3+zxaar9q134zeJ7q1WTP2eKOKNivpuwavni&#10;bRqRM3/grT/wXF+P3/BZ7xhbfsL/ALB3gjV9M8B3V8DqEisVudcCnAe4I4htlzu2k8kAnPAr7C/4&#10;J7/sX+Fv2G/2e9P+FGkSR3mrXDfbPEmrJHg3d4wG4/7ijCKPRc9Sa3P2Yf2MP2e/2QfDLeG/gb8P&#10;4dNaZQLzUZcyXV0R3eVvmP04A7ACvVEO3qG6VEpcxnOpzaEGs6XZa3ptxo+qWiz2t1A0VxDIuVdG&#10;GCCO4INfkp470/8Aas/4IE/tsr+1j+y5bXF98PdavGN7puHaze3ZstaXAXhcZOx+3GPSv10ZlI6G&#10;snxZ4N8K+PfD134T8a+H7XVNLvoWiu7G+hEkUiEYwVPtRGXKEJcp0v7Kv/Byp/wSq/bA+HdvY/G3&#10;xvY+CNUuINuqeH/GVmZLcNj5gsgVldfTIFVPjf8A8F2v+CHv7EfhzUPGHwS1Hwp4h8QNCWtdN8A+&#10;H0SW6k2kqrS+WoUZ4yScZr8//jB/wb0fshePNZuNe+H3iHX/AAn55Lf2faTCe3jY/wB0SfMB7bjV&#10;X4T/APBu5+yb4O1aDWPiL4v8Q+KFhYM1jJKtvDIR2bZ8xHtkVpzxNfaRPDfGHxE/a+/4ONv2zYPi&#10;t8VrC48P/Cvw1cCOz0+EsbSwtt2TDGTgTXDgfM/8hgV+sXgjwboHw98J6f4I8J6ZHZ6bpVnHbWVr&#10;CuFjjQBQP0qr8O/hr4D+E3hK08CfDbwlZ6LpNjH5drY6fbiONB+H6k5JNdAsnGCKzlLmMpycjyr9&#10;sb9lfwZ+2J8B9Z+CnjVfLF9F5mm3yrl7O6XmOVfx4PqCRXwP/wAEy/8Agrb+07/wQM+Muofsgfta&#10;eB9R134Y3moNPDCrN5llnC/a7F2+V4mAG6Ppn0Oa/Ut2z0FecftIfsn/AAG/ay8Gf8IR8dPANtrF&#10;qjb7W4OY7i1cdGjlXDL9M4YcEEU4ysEJ8u59Q/Dr/gvV/wAEcfjd4Yh8Y337TXhbT5VhVms/Eti0&#10;dzCSuduCh5HfB618t/8ABSX/AIOwf2Tfgh4AvvBH7C7t498Y3du1vYamts0Wn6e5BUSfMAZSpwQo&#10;GDXxj4k/4NwP2bL/AFR7rwz8XPFFhatISttMIpSoz03YGa9W/Zo/4Ij/ALGf7OfiG38Z3mi33i7W&#10;LV1ktbjxDIrwwOOjLEoC5zyC2cVXOjb2kTwT/glR+xJ8a/jz8brz/go7+2xLe6hrmqXUl5odvrSn&#10;zp5nP/H0yn7qgHCLgYHPpX6dSIUtpBj/AJZt/KiGGK3RYYYgqKoVVRcAAdgKW4dRbSZ/55t/Ko5r&#10;nPKTlK5/LJ8QP+R81v8A7C9z/wCjWoo8fnPjvWz/ANRe5/8ARrUVsdR7R8H/APgqH+2r8C/hzpnw&#10;n+GXxdk07Q9HjePT7NbGJvLVnZ2GWUn7zE1+qf8AwTO/at0P/gpf+yLr3wb/AGhbu31TxFaxzWPi&#10;KFgqtdWsmfLuAo6EZ25HQqPWvwpr1r9iz9rbxz+xn8ddL+MHgyVpI4X8rVtP3fLeWpPzxn3xyD2N&#10;TKN9iZQUj3bxRpX7V3/BC/8Abss/id8IdZuoEsbozaHqHzfZdY09mybafGAwI+Vl7EZFf0Rf8Ew/&#10;+Dif9h79v/wFp9l4q8bWPw9+ICRrHrHhTxFeJCpm6F7aViFljY/d6MB1ANfHtof2Sf8AgrB+zVDL&#10;f2tvrGkX8PzRrIBeaVcY5weqOp/A1+af7VH/AAQH/aT+FWu3Gvfs8XyeMNFWQyWsKyCK+gA5AI6M&#10;R6g0KXcmM1sz+ty3+Inge8tRe2/jHS5ISufOW/jK49c5r5b/AG+/+C2P7BX/AAT98BahrfxJ+MWm&#10;614gt4W/s/wj4euo7m+u5h0j2qcR84yzEACv5a4/2Wf+Cr2kWreEbfw/8SYrZ22taxatOIzn6P0r&#10;ufgJ/wAEOP22Pjn4nTVfivbf8Irp8swa91LWrnzbl17kLklm+po5ol8yIv2yf2zv2x/+C937Z1kr&#10;abcQ2LXH2fwv4Xtpnez0O0LcyuehbHLOQCegr9Dfilq3w1/4I5f8E5JNB8HXkDa+lqbbS5JFXzNR&#10;1aVcNOR3C8v0wAoFd78Av2YP2T/+CWvwMvvEaXVvZrbWvma94o1Mr9ou2A+6PQE9EX9a/HH/AIKc&#10;/t++IP26fjY+sWLTWvhLRC1v4b01m6R55mYf336+w4qfjZGtRmk//BaT/gomXLf8Lzbrn/kGw/8A&#10;xNH/AA+l/wCCin/RdX/8FsP/AMTXyrXs3/BO7wl4Z8e/t2/CLwX4z0SHUtJ1T4g6Xa6lp9ym6O4h&#10;e5QOjDuCDitLF8sT0Rv+C0P/AAUVPH/C95P/AAWw8f8AjtB/4LRf8FFRwfjvJ/4LYf8A4mv3k8ef&#10;s6fsGeLf23fFX7Bev/8ABHmx0vwbBoN1NN8YbXTVhsogtp5u5XGCpBOMg9RX5/8AwK/YI/Z3/wCC&#10;p3/BMbxN8GP2Wvhvo9n8bvgt8STZRapYwKk2u6LLdtFHJM38eI2DFuxjb1pWQcsT4b/4fSf8FFF6&#10;/HOT/wAFsP8A8TR/w+k/4KKdvjo//gth/wDia90/4OFfC37KP7MXxA+H3/BPz9mj4Z6TZal8L/C1&#10;uvxA8VW1uoutV1SWJCUkkHLbFGT/ALUhHavzhosg5Yn1V/w+l/4KKf8ARdG/8FsP/wATQf8AgtF/&#10;wUUPP/C9JP8AwWw//E18q1+vn/Bq7+yB+y9+1xafHzw5+038PtF1e0t/C9nBp2o6tbhm0ySd3i86&#10;Nj9xgWGD6gUcsQ5Ynxb/AMPo/wDgop/D8d5P/BbB/wDE05P+Czn/AAUbdGeP45TMq8sV0yH5fr8l&#10;fW2h/wDBM7w7+zx+wn+3B8LPil8NtL1Hx58O/G+g6d4R8QXEOZoILm8gEbwufurJG4Oe4avo34ve&#10;P/8Aglh/wQN0/wCFv7B/xZ/Yz0n4peLPFPhOz1f4seMNSjRpbdblyhZA4PAKSFUXGERc5LUWQuWJ&#10;+XP/AA+k/wCCig6fHV//AAWw/wDxNL/w+l/4KKf9F0b/AMFsP/xNZP8AwVn8C/seeB/22PEjfsH+&#10;N7fWvhrrEcWp6KtqWK6c8ufNtAW5IRwdueiso5xXzXTsPlifVP8Aw+k/4KKE5Px1f/wWw/8AxNPT&#10;/gs5/wAFGZjiH44TNxkhdMhP/stfKYr93v8Agmh+zx8Hv2Wf+CNXgn9tb4R/sCaf+0d448ceJLmP&#10;x1DcbZZNEsY5JUaKNCCVIWNRgDlnyeMYVkLlifmV/wAPov8AgopnafjtJ/4LYP8A4mlP/BaH/goo&#10;vH/C9ZP/AAWw/wDxNfRn7R/7JX7F/wC1p/wXH+HvwL/YO8I6hpvhbxnqGmzeNfCd9p8lsdDulldr&#10;+ERuAVQQIsmOgLNjjFehf8HTP7Ef7PPwf174a/tNfsf+AdF0XwRriah4f1VPD9uI4BqVpcOhyF43&#10;fJKpPqtOw+WJ8Y/8Ppf+Cin/AEXRv/BbD/8AE02T/gtB/wAFEZQVf46ybWGGH9mw9P8AvmvleilZ&#10;ByxLF/qN1qd9NqV6++a4maWZ/wC8zHJP5miq9FMYUVNqNlLpmoT6bOytJbzNG7L0JU4OPbioaAPV&#10;P2Vf2xvjp+x347Txz8G/FktqW+W906Vi1tdpnlXTofr1Ffqd+zZ/wcN/s/8Ajeyh0r9oLwnfeFtT&#10;2hZb2xX7Rau3duPmUd8c1+LtKCMYxScUyXGLP6J7f/grV/wT3u9L/tZf2jdKEfH7uSGVZP8Avnbm&#10;vGfj9/wcC/skfDrTprb4S2OpeMtT8v8AceXCbe2DY4yzfN19BX4e5oOO1L2aQezie+ftqf8ABRT9&#10;oL9t3xGt58Rtfaz0W3YnT/DunsUtoeerD+Nv9o14GeeaKKq1ikrbBXuv/BMNtv8AwUT+Cbb9v/Fz&#10;NH+Y9v8ASkrwqpLS6ubK6jvLO4khmjYNHJG5VkYdCCOhoA/rl8e/Db/gqLof/BULVPjR4q/aD8P2&#10;P7K8MDtrHh3WL6IRizFrtlDBgNuWycluK/Jz/ggj8XtA8Lf8HAnj7SP2dfEb2vgDxIniIW9nDJ/o&#10;91bxv5kLYzg4bJU+h44NfkjdfEPx7fQPa3vjXVpo5FxJHJqUrKw9wW5rP0zV9U0a6F9pGpXFrMoI&#10;E1tMY3APUZHNAHdftZfEDxf8Uv2mfHvxA8ea5NqWr6r4svp768uGLNLIZ35rz2nTSvNIZZHZmblm&#10;bvTaACv1e/4N5tYvvD37FP7amuaVetb3ln8LIJ7S4jbDRyJIzKwPqCAfwr8oat2Oua1pUM9tpmr3&#10;VvHcrsuEgnZFlX0YA8j60Af0QfFD9tD4aftmf8G5Pj39sm0tNN/4WRHaeG9K+JUdmyq897pupWvl&#10;tIvXLRlWBPO1hXI/8FEv+CVfiT/gvp8V/g//AMFGf2KviJ4fuvBfijwZpuj+Ooby/VbjRZraRzMH&#10;UZ/eKkhUocEFFPIYGvwNt9c1i002bRrbVrmOzuG3T2sczCOQjoWXOD071u+C/jX8X/hvot74e+Hv&#10;xR8QaJYakpXULLS9Wmt4rkYIw6owDcMRz2NAH0N/wWc+F37GXwM/bk1z4I/sNym48J+E7G307UNQ&#10;GofaUutTUMblkkyQVUkJxxlWr5Rp00rzStNI7MzHLM3Umm0AKvWv3C/4JWfsyftxeG/2B/AH7Tf/&#10;AARW/azl1jxBfarJb/GT4U+JNShbT7K6yAH8hh8h2qTk4LK4Kmvw8rpPh78Y/ix8Jbqe9+F3xJ1z&#10;w7NdR7LiTRNUltWkXOcN5bDI6flQB/UT4q8O/AvwL/wUc8Tf8FHPiknhuHVfgb+zPHF8X5PCLoRF&#10;4iuxKWhVh/y2W3S5xu+cLJFnqK+Ovj7rX7FX/BS3/ght8WvB37Cdl4rt3+EHi3/hMZrTxpffabyS&#10;Wcl7lkYkna4DnHTczHua/Cq78ZeLL43j33ijUJm1KQyah5l47fanP8UmT859zmoNO13W9LhmtNL1&#10;i6t47ldtxHBcMiyr6MAeR9aAKZ69KKCcnNFABRXVad8IfEup6fBqUF9YrHcQrIivI+QGGRn5OvNF&#10;AH//2VBLAQItABQABgAIAAAAIQArENvACgEAABQCAAATAAAAAAAAAAAAAAAAAAAAAABbQ29udGVu&#10;dF9UeXBlc10ueG1sUEsBAi0AFAAGAAgAAAAhADj9If/WAAAAlAEAAAsAAAAAAAAAAAAAAAAAOwEA&#10;AF9yZWxzLy5yZWxzUEsBAi0AFAAGAAgAAAAhAESP8EwTBAAAcwsAAA4AAAAAAAAAAAAAAAAAOgIA&#10;AGRycy9lMm9Eb2MueG1sUEsBAi0AFAAGAAgAAAAhADedwRi6AAAAIQEAABkAAAAAAAAAAAAAAAAA&#10;eQYAAGRycy9fcmVscy9lMm9Eb2MueG1sLnJlbHNQSwECLQAUAAYACAAAACEArpmfVdsAAAAEAQAA&#10;DwAAAAAAAAAAAAAAAABqBwAAZHJzL2Rvd25yZXYueG1sUEsBAi0ACgAAAAAAAAAhAH5bxC0lLAAA&#10;JSwAABQAAAAAAAAAAAAAAAAAcggAAGRycy9tZWRpYS9pbWFnZTEuanBnUEsFBgAAAAAGAAYAfAEA&#10;AMk0AAAAAA==&#10;">
                <v:group id="Grupo 1" o:spid="_x0000_s1035" style="position:absolute;left:47935;top:35037;width:11049;height:552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6"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F7046" w:rsidRDefault="004F7046">
                          <w:pPr>
                            <w:jc w:val="left"/>
                            <w:textDirection w:val="btLr"/>
                          </w:pPr>
                        </w:p>
                      </w:txbxContent>
                    </v:textbox>
                  </v:rect>
                  <v:shape id="Forma libre: forma 3" o:spid="_x0000_s103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L1wQAAANsAAAAPAAAAZHJzL2Rvd25yZXYueG1sRE89b8Iw&#10;EN2R+A/WIbGBA6KIpjgRILVlYSDp0PEUX5NAfI5sF9J/jytV6nZP7/O2+WA6cSPnW8sKFvMEBHFl&#10;dcu1go/ydbYB4QOyxs4yKfghD3k2Hm0x1fbOZ7oVoRYxhH2KCpoQ+lRKXzVk0M9tTxy5L+sMhghd&#10;LbXDeww3nVwmyVoabDk2NNjToaHqWnwbBU9vz+eTfJefS1c4XW5M6dv9RanpZNi9gAg0hH/xn/uo&#10;4/wV/P4SD5DZAwAA//8DAFBLAQItABQABgAIAAAAIQDb4fbL7gAAAIUBAAATAAAAAAAAAAAAAAAA&#10;AAAAAABbQ29udGVudF9UeXBlc10ueG1sUEsBAi0AFAAGAAgAAAAhAFr0LFu/AAAAFQEAAAsAAAAA&#10;AAAAAAAAAAAAHwEAAF9yZWxzLy5yZWxzUEsBAi0AFAAGAAgAAAAhAGNcUvXBAAAA2wAAAA8AAAAA&#10;AAAAAAAAAAAABwIAAGRycy9kb3ducmV2LnhtbFBLBQYAAAAAAwADALcAAAD1AgAAAAA=&#10;">
                    <v:imagedata r:id="rId34" o:title=""/>
                  </v:shape>
                </v:group>
                <w10:anchorlock/>
              </v:group>
            </w:pict>
          </mc:Fallback>
        </mc:AlternateContent>
      </w:r>
    </w:p>
    <w:sectPr w:rsidR="004F7046">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BC5" w:rsidRDefault="00852BC5">
      <w:r>
        <w:separator/>
      </w:r>
    </w:p>
  </w:endnote>
  <w:endnote w:type="continuationSeparator" w:id="0">
    <w:p w:rsidR="00852BC5" w:rsidRDefault="0085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46" w:rsidRDefault="004F7046">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46" w:rsidRDefault="004F7046">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4F7046">
      <w:tc>
        <w:tcPr>
          <w:tcW w:w="7797" w:type="dxa"/>
          <w:tcBorders>
            <w:top w:val="single" w:sz="4" w:space="0" w:color="000000"/>
          </w:tcBorders>
        </w:tcPr>
        <w:p w:rsidR="004F7046" w:rsidRDefault="0059691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w:t>
          </w:r>
          <w:r>
            <w:t xml:space="preserve"> </w:t>
          </w:r>
          <w:r>
            <w:rPr>
              <w:rFonts w:ascii="Arial" w:eastAsia="Arial" w:hAnsi="Arial" w:cs="Arial"/>
              <w:color w:val="000000"/>
              <w:sz w:val="16"/>
              <w:szCs w:val="16"/>
            </w:rPr>
            <w:t>ARTICULO ORIGINAL Rev. Methodo 2025;10(3):</w:t>
          </w:r>
          <w:r w:rsidR="00490931">
            <w:rPr>
              <w:rFonts w:ascii="Arial" w:eastAsia="Arial" w:hAnsi="Arial" w:cs="Arial"/>
              <w:color w:val="000000"/>
              <w:sz w:val="16"/>
              <w:szCs w:val="16"/>
            </w:rPr>
            <w:t>15-2</w:t>
          </w:r>
          <w:r w:rsidR="00CE5DC6">
            <w:rPr>
              <w:rFonts w:ascii="Arial" w:eastAsia="Arial" w:hAnsi="Arial" w:cs="Arial"/>
              <w:color w:val="000000"/>
              <w:sz w:val="16"/>
              <w:szCs w:val="16"/>
            </w:rPr>
            <w:t>2</w:t>
          </w:r>
          <w:r w:rsidR="00490931">
            <w:rPr>
              <w:rFonts w:ascii="Arial" w:eastAsia="Arial" w:hAnsi="Arial" w:cs="Arial"/>
              <w:color w:val="000000"/>
              <w:sz w:val="16"/>
              <w:szCs w:val="16"/>
            </w:rPr>
            <w:t>.</w:t>
          </w:r>
        </w:p>
      </w:tc>
    </w:tr>
  </w:tbl>
  <w:p w:rsidR="004F7046" w:rsidRDefault="004F7046">
    <w:pPr>
      <w:pBdr>
        <w:top w:val="nil"/>
        <w:left w:val="nil"/>
        <w:bottom w:val="nil"/>
        <w:right w:val="nil"/>
        <w:between w:val="nil"/>
      </w:pBdr>
      <w:tabs>
        <w:tab w:val="center" w:pos="4419"/>
        <w:tab w:val="right" w:pos="8838"/>
      </w:tabs>
      <w:rPr>
        <w:color w:val="000000"/>
      </w:rPr>
    </w:pPr>
  </w:p>
  <w:p w:rsidR="004F7046" w:rsidRDefault="004F7046">
    <w:pPr>
      <w:widowControl w:val="0"/>
      <w:pBdr>
        <w:top w:val="nil"/>
        <w:left w:val="nil"/>
        <w:bottom w:val="nil"/>
        <w:right w:val="nil"/>
        <w:between w:val="nil"/>
      </w:pBdr>
      <w:spacing w:line="276" w:lineRule="auto"/>
      <w:jc w:val="left"/>
      <w:rPr>
        <w:color w:val="000000"/>
      </w:rPr>
    </w:pPr>
  </w:p>
  <w:p w:rsidR="004F7046" w:rsidRDefault="004F7046">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46" w:rsidRDefault="004F7046">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4F7046">
      <w:tc>
        <w:tcPr>
          <w:tcW w:w="7797" w:type="dxa"/>
          <w:tcBorders>
            <w:top w:val="single" w:sz="4" w:space="0" w:color="000000"/>
          </w:tcBorders>
        </w:tcPr>
        <w:p w:rsidR="004F7046" w:rsidRDefault="0059691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|ARTICULO ORIGINAL Rev. Methodo 2025;10(3):</w:t>
          </w:r>
          <w:r w:rsidR="007D581F">
            <w:rPr>
              <w:rFonts w:ascii="Arial" w:eastAsia="Arial" w:hAnsi="Arial" w:cs="Arial"/>
              <w:color w:val="000000"/>
              <w:sz w:val="16"/>
              <w:szCs w:val="16"/>
            </w:rPr>
            <w:t>15-2</w:t>
          </w:r>
          <w:r w:rsidR="005F1EBB">
            <w:rPr>
              <w:rFonts w:ascii="Arial" w:eastAsia="Arial" w:hAnsi="Arial" w:cs="Arial"/>
              <w:color w:val="000000"/>
              <w:sz w:val="16"/>
              <w:szCs w:val="16"/>
            </w:rPr>
            <w:t>2</w:t>
          </w:r>
          <w:r w:rsidR="007D581F">
            <w:rPr>
              <w:rFonts w:ascii="Arial" w:eastAsia="Arial" w:hAnsi="Arial" w:cs="Arial"/>
              <w:color w:val="000000"/>
              <w:sz w:val="16"/>
              <w:szCs w:val="16"/>
            </w:rPr>
            <w:t>.</w:t>
          </w:r>
        </w:p>
      </w:tc>
    </w:tr>
  </w:tbl>
  <w:p w:rsidR="004F7046" w:rsidRDefault="004F704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BC5" w:rsidRDefault="00852BC5">
      <w:r>
        <w:separator/>
      </w:r>
    </w:p>
  </w:footnote>
  <w:footnote w:type="continuationSeparator" w:id="0">
    <w:p w:rsidR="00852BC5" w:rsidRDefault="0085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46" w:rsidRDefault="00596917">
    <w:pPr>
      <w:pBdr>
        <w:top w:val="nil"/>
        <w:left w:val="nil"/>
        <w:bottom w:val="nil"/>
        <w:right w:val="nil"/>
        <w:between w:val="nil"/>
      </w:pBdr>
      <w:tabs>
        <w:tab w:val="center" w:pos="4419"/>
        <w:tab w:val="right" w:pos="8838"/>
      </w:tabs>
      <w:rPr>
        <w:color w:val="000000"/>
        <w:szCs w:val="20"/>
      </w:rPr>
    </w:pPr>
    <w:r>
      <w:rPr>
        <w:noProof/>
        <w:color w:val="000000"/>
        <w:szCs w:val="20"/>
      </w:rPr>
      <mc:AlternateContent>
        <mc:Choice Requires="wps">
          <w:drawing>
            <wp:anchor distT="0" distB="0" distL="0" distR="0" simplePos="0" relativeHeight="251653632" behindDoc="1" locked="0" layoutInCell="1" hidden="0" allowOverlap="1">
              <wp:simplePos x="0" y="0"/>
              <wp:positionH relativeFrom="margin">
                <wp:align>center</wp:align>
              </wp:positionH>
              <wp:positionV relativeFrom="margin">
                <wp:align>center</wp:align>
              </wp:positionV>
              <wp:extent cx="5396685" cy="5396685"/>
              <wp:effectExtent l="0" t="0" r="0" b="0"/>
              <wp:wrapNone/>
              <wp:docPr id="1077" name="Rectángulo 1077"/>
              <wp:cNvGraphicFramePr/>
              <a:graphic xmlns:a="http://schemas.openxmlformats.org/drawingml/2006/main">
                <a:graphicData uri="http://schemas.microsoft.com/office/word/2010/wordprocessingShape">
                  <wps:wsp>
                    <wps:cNvSpPr/>
                    <wps:spPr>
                      <a:xfrm rot="-2700000">
                        <a:off x="2124963" y="3194530"/>
                        <a:ext cx="6442075" cy="1170940"/>
                      </a:xfrm>
                      <a:prstGeom prst="rect">
                        <a:avLst/>
                      </a:prstGeom>
                    </wps:spPr>
                    <wps:txbx>
                      <w:txbxContent>
                        <w:p w:rsidR="004F7046" w:rsidRDefault="00596917">
                          <w:pPr>
                            <w:jc w:val="center"/>
                            <w:textDirection w:val="btLr"/>
                          </w:pPr>
                          <w:r>
                            <w:rPr>
                              <w:rFonts w:ascii="Arial" w:eastAsia="Arial" w:hAnsi="Arial" w:cs="Arial"/>
                              <w:color w:val="C0C0C0"/>
                              <w:sz w:val="144"/>
                            </w:rPr>
                            <w:t>PRELIMINAR</w:t>
                          </w:r>
                        </w:p>
                      </w:txbxContent>
                    </wps:txbx>
                    <wps:bodyPr spcFirstLastPara="1" wrap="square" lIns="91425" tIns="91425" rIns="91425" bIns="91425" anchor="ctr" anchorCtr="0">
                      <a:noAutofit/>
                    </wps:bodyPr>
                  </wps:wsp>
                </a:graphicData>
              </a:graphic>
            </wp:anchor>
          </w:drawing>
        </mc:Choice>
        <mc:Fallback>
          <w:pict>
            <v:rect id="Rectángulo 1077" o:spid="_x0000_s1039" style="position:absolute;left:0;text-align:left;margin-left:0;margin-top:0;width:424.95pt;height:424.95pt;rotation:-45;z-index:-25166284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v+1QEAAHcDAAAOAAAAZHJzL2Uyb0RvYy54bWysU1tu2zAQ/C/QOxD8j/WwYteC5aBokKJA&#10;0BpNegCaIi0C4qNL2pKP07P0Yl1Samo0f0X1QXDIxXBmdrW9G3VPzgK8sqahxSKnRBhuW2WODf32&#10;/HDzjhIfmGlZb41o6EV4erd7+2Y7uFqUtrN9K4AgifH14BraheDqLPO8E5r5hXXC4KW0oFlACMes&#10;BTYgu+6zMs9X2WChdWC58B5P76dLukv8UgoevkjpRSB9Q1FbSCuk9RDXbLdl9RGY6xSfZbB/UKGZ&#10;MvjoC9U9C4ycQL2i0oqD9VaGBbc6s1IqLpIHdFPkf7l56pgTyQuG491LTP7/0fLP5z0Q1WLv8vWa&#10;EsM0dukr5vbzhzmeekvSOcY0OF9j9ZPbw4w8bqPnUYImYDHbm3Kdxy9FgebI2NCyKKvNaknJpaHL&#10;YlPdLufUxRgIx4JVVZX5+pYSjhVFsc43VarIJub4ggMfPgqrSdw0FFBeeoKdH31ANVj6uwRBVDpp&#10;i7swHsZZ8MG2F3TrHX9QSPTIfNgzwH4XlAw4Aw31308MBCX9J4Mhb4qqRF3hGsA1OFwDZnhncbR4&#10;AEom8CGkUYsWjH1/ClaqJDfqmsTMcrG7ycU8iXF8rnGq+vO/7H4BAAD//wMAUEsDBBQABgAIAAAA&#10;IQAcWY9d2AAAAAUBAAAPAAAAZHJzL2Rvd25yZXYueG1sTI9LT8QwDITvSPyHyEjcWJeH0LY0XfE+&#10;grqAuHob01YkTtVku4VfT0BIcLHGGmvmc7manVUTj6H3ouF4kYFiabzppdXw/HR3tAQVIokh64U1&#10;fHCAVbW/V1Jh/E5qntaxVSlEQkEauhiHAjE0HTsKCz+wJO/Nj45iWscWzUi7FO4snmTZOTrqJTV0&#10;NPB1x837eus0TAPRzefrvX25rWt8MKeYXz2i1ocH8+UFqMhz/DuGb/yEDlVi2vitmKCshvRI/JnJ&#10;W57lOajNr8CqxP/01RcAAAD//wMAUEsBAi0AFAAGAAgAAAAhALaDOJL+AAAA4QEAABMAAAAAAAAA&#10;AAAAAAAAAAAAAFtDb250ZW50X1R5cGVzXS54bWxQSwECLQAUAAYACAAAACEAOP0h/9YAAACUAQAA&#10;CwAAAAAAAAAAAAAAAAAvAQAAX3JlbHMvLnJlbHNQSwECLQAUAAYACAAAACEA3+g7/tUBAAB3AwAA&#10;DgAAAAAAAAAAAAAAAAAuAgAAZHJzL2Uyb0RvYy54bWxQSwECLQAUAAYACAAAACEAHFmPXdgAAAAF&#10;AQAADwAAAAAAAAAAAAAAAAAvBAAAZHJzL2Rvd25yZXYueG1sUEsFBgAAAAAEAAQA8wAAADQFAAAA&#10;AA==&#10;" filled="f" stroked="f">
              <v:textbox inset="2.53958mm,2.53958mm,2.53958mm,2.53958mm">
                <w:txbxContent>
                  <w:p w:rsidR="004F7046" w:rsidRDefault="00596917">
                    <w:pPr>
                      <w:jc w:val="center"/>
                      <w:textDirection w:val="btLr"/>
                    </w:pPr>
                    <w:r>
                      <w:rPr>
                        <w:rFonts w:ascii="Arial" w:eastAsia="Arial" w:hAnsi="Arial" w:cs="Arial"/>
                        <w:color w:val="C0C0C0"/>
                        <w:sz w:val="144"/>
                      </w:rPr>
                      <w:t>PRELIMINAR</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46" w:rsidRDefault="0059691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noProof/>
      </w:rPr>
      <mc:AlternateContent>
        <mc:Choice Requires="wps">
          <w:drawing>
            <wp:anchor distT="0" distB="0" distL="0" distR="0" simplePos="0" relativeHeight="251652608" behindDoc="1" locked="0" layoutInCell="1" hidden="0" allowOverlap="1">
              <wp:simplePos x="0" y="0"/>
              <wp:positionH relativeFrom="margin">
                <wp:align>center</wp:align>
              </wp:positionH>
              <wp:positionV relativeFrom="margin">
                <wp:align>center</wp:align>
              </wp:positionV>
              <wp:extent cx="5396685" cy="5396685"/>
              <wp:effectExtent l="0" t="0" r="0" b="0"/>
              <wp:wrapNone/>
              <wp:docPr id="1068" name="Rectángulo 1068"/>
              <wp:cNvGraphicFramePr/>
              <a:graphic xmlns:a="http://schemas.openxmlformats.org/drawingml/2006/main">
                <a:graphicData uri="http://schemas.microsoft.com/office/word/2010/wordprocessingShape">
                  <wps:wsp>
                    <wps:cNvSpPr/>
                    <wps:spPr>
                      <a:xfrm rot="-2700000">
                        <a:off x="2124963" y="3194530"/>
                        <a:ext cx="6442075" cy="1170940"/>
                      </a:xfrm>
                      <a:prstGeom prst="rect">
                        <a:avLst/>
                      </a:prstGeom>
                    </wps:spPr>
                    <wps:txbx>
                      <w:txbxContent>
                        <w:p w:rsidR="004F7046" w:rsidRDefault="00596917">
                          <w:pPr>
                            <w:jc w:val="center"/>
                            <w:textDirection w:val="btLr"/>
                          </w:pPr>
                          <w:r>
                            <w:rPr>
                              <w:rFonts w:ascii="Arial" w:eastAsia="Arial" w:hAnsi="Arial" w:cs="Arial"/>
                              <w:color w:val="C0C0C0"/>
                              <w:sz w:val="144"/>
                            </w:rPr>
                            <w:t>PRELIMINAR</w:t>
                          </w:r>
                        </w:p>
                      </w:txbxContent>
                    </wps:txbx>
                    <wps:bodyPr spcFirstLastPara="1" wrap="square" lIns="91425" tIns="91425" rIns="91425" bIns="91425" anchor="ctr" anchorCtr="0">
                      <a:noAutofit/>
                    </wps:bodyPr>
                  </wps:wsp>
                </a:graphicData>
              </a:graphic>
            </wp:anchor>
          </w:drawing>
        </mc:Choice>
        <mc:Fallback>
          <w:pict>
            <v:rect id="Rectángulo 1068" o:spid="_x0000_s1040" style="position:absolute;left:0;text-align:left;margin-left:0;margin-top:0;width:424.95pt;height:424.95pt;rotation:-45;z-index:-25166387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8e1wEAAH4DAAAOAAAAZHJzL2Uyb0RvYy54bWysU1tu2zAQ/C/QOxD8j/WwYteC5aBokKJA&#10;0BpJewCaIi0C4qNL2pKP07P0Yl1SamK0f0X1QXDIxXBmdrW9G3VPzgK8sqahxSKnRBhuW2WODf32&#10;9eHmHSU+MNOy3hrR0Ivw9G739s12cLUobWf7VgBBEuPrwTW0C8HVWeZ5JzTzC+uEwUtpQbOAEI5Z&#10;C2xAdt1nZZ6vssFC68By4T2e3k+XdJf4pRQ8fJHSi0D6hqK2kFZI6yGu2W7L6iMw1yk+y2D/oEIz&#10;ZfDRF6p7Fhg5gfqLSisO1lsZFtzqzEqpuEge0E2R/+HmuWNOJC8YjncvMfn/R8s/n/dAVIu9y1fY&#10;K8M0dukJc/v5wxxPvSXpHGManK+x+tntYUYet9HzKEETsJjtTbnO45eiQHNkbGhZlNVmtaTk0tBl&#10;salul3PqYgyEY8Gqqsp8fUsJx4qiWOebKlVkE3N8wYEPH4XVJG4aCigvPcHOjz6gGiz9XYIgKp20&#10;xV0YD+NkMDY7nhxse0HT3vEHhXyPzIc9A2x7QcmAo9BQ//3EQFDSfzKY9aaoSpQXrgFcg8M1YIZ3&#10;FieMB6BkAh9CmrjoxNj3p2ClSqpfxcyqscnJzDyQcYqucap6/W12vwAAAP//AwBQSwMEFAAGAAgA&#10;AAAhABxZj13YAAAABQEAAA8AAABkcnMvZG93bnJldi54bWxMj0tPxDAMhO9I/IfISNxYl4fQtjRd&#10;8T6CuoC4ehvTViRO1WS7hV9PQEhwscYaa+ZzuZqdVROPofei4XiRgWJpvOml1fD8dHe0BBUiiSHr&#10;hTV8cIBVtb9XUmH8Tmqe1rFVKURCQRq6GIcCMTQdOwoLP7Ak782PjmJaxxbNSLsU7iyeZNk5Ouol&#10;NXQ08HXHzft66zRMA9HN5+u9fbmta3wwp5hfPaLWhwfz5QWoyHP8O4Zv/IQOVWLa+K2YoKyG9Ej8&#10;mclbnuU5qM2vwKrE//TVFwAAAP//AwBQSwECLQAUAAYACAAAACEAtoM4kv4AAADhAQAAEwAAAAAA&#10;AAAAAAAAAAAAAAAAW0NvbnRlbnRfVHlwZXNdLnhtbFBLAQItABQABgAIAAAAIQA4/SH/1gAAAJQB&#10;AAALAAAAAAAAAAAAAAAAAC8BAABfcmVscy8ucmVsc1BLAQItABQABgAIAAAAIQBu1J8e1wEAAH4D&#10;AAAOAAAAAAAAAAAAAAAAAC4CAABkcnMvZTJvRG9jLnhtbFBLAQItABQABgAIAAAAIQAcWY9d2AAA&#10;AAUBAAAPAAAAAAAAAAAAAAAAADEEAABkcnMvZG93bnJldi54bWxQSwUGAAAAAAQABADzAAAANgUA&#10;AAAA&#10;" filled="f" stroked="f">
              <v:textbox inset="2.53958mm,2.53958mm,2.53958mm,2.53958mm">
                <w:txbxContent>
                  <w:p w:rsidR="004F7046" w:rsidRDefault="00596917">
                    <w:pPr>
                      <w:jc w:val="center"/>
                      <w:textDirection w:val="btLr"/>
                    </w:pPr>
                    <w:r>
                      <w:rPr>
                        <w:rFonts w:ascii="Arial" w:eastAsia="Arial" w:hAnsi="Arial" w:cs="Arial"/>
                        <w:color w:val="C0C0C0"/>
                        <w:sz w:val="144"/>
                      </w:rPr>
                      <w:t>PRELIMINAR</w:t>
                    </w:r>
                  </w:p>
                </w:txbxContent>
              </v:textbox>
              <w10:wrap anchorx="margin" anchory="margin"/>
            </v:rect>
          </w:pict>
        </mc:Fallback>
      </mc:AlternateContent>
    </w: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46" w:rsidRDefault="00596917">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4143427" cy="1136664"/>
          <wp:effectExtent l="0" t="0" r="0" b="0"/>
          <wp:docPr id="1087" name="image7.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7.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4F7046" w:rsidRDefault="004F7046">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46" w:rsidRDefault="00596917">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0" distR="0" simplePos="0" relativeHeight="251656704" behindDoc="1" locked="0" layoutInCell="1" hidden="0" allowOverlap="1">
              <wp:simplePos x="0" y="0"/>
              <wp:positionH relativeFrom="margin">
                <wp:align>center</wp:align>
              </wp:positionH>
              <wp:positionV relativeFrom="margin">
                <wp:align>center</wp:align>
              </wp:positionV>
              <wp:extent cx="5396685" cy="5396685"/>
              <wp:effectExtent l="0" t="0" r="0" b="0"/>
              <wp:wrapNone/>
              <wp:docPr id="1072" name="Rectángulo 1072"/>
              <wp:cNvGraphicFramePr/>
              <a:graphic xmlns:a="http://schemas.openxmlformats.org/drawingml/2006/main">
                <a:graphicData uri="http://schemas.microsoft.com/office/word/2010/wordprocessingShape">
                  <wps:wsp>
                    <wps:cNvSpPr/>
                    <wps:spPr>
                      <a:xfrm rot="-2700000">
                        <a:off x="2124963" y="3194530"/>
                        <a:ext cx="6442075" cy="1170940"/>
                      </a:xfrm>
                      <a:prstGeom prst="rect">
                        <a:avLst/>
                      </a:prstGeom>
                    </wps:spPr>
                    <wps:txbx>
                      <w:txbxContent>
                        <w:p w:rsidR="004F7046" w:rsidRDefault="00596917">
                          <w:pPr>
                            <w:jc w:val="center"/>
                            <w:textDirection w:val="btLr"/>
                          </w:pPr>
                          <w:r>
                            <w:rPr>
                              <w:rFonts w:ascii="Arial" w:eastAsia="Arial" w:hAnsi="Arial" w:cs="Arial"/>
                              <w:color w:val="C0C0C0"/>
                              <w:sz w:val="144"/>
                            </w:rPr>
                            <w:t>PRELIMINAR</w:t>
                          </w:r>
                        </w:p>
                      </w:txbxContent>
                    </wps:txbx>
                    <wps:bodyPr spcFirstLastPara="1" wrap="square" lIns="91425" tIns="91425" rIns="91425" bIns="91425" anchor="ctr" anchorCtr="0">
                      <a:noAutofit/>
                    </wps:bodyPr>
                  </wps:wsp>
                </a:graphicData>
              </a:graphic>
            </wp:anchor>
          </w:drawing>
        </mc:Choice>
        <mc:Fallback>
          <w:pict>
            <v:rect id="Rectángulo 1072" o:spid="_x0000_s1041" style="position:absolute;left:0;text-align:left;margin-left:0;margin-top:0;width:424.95pt;height:424.95pt;rotation:-45;z-index:-25165977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NP2AEAAH4DAAAOAAAAZHJzL2Uyb0RvYy54bWysU1tu2zAQ/C/QOxD8j/WwYteG5aBokKJA&#10;0BpJewCaIi0CEpdd0pZ8nJ6lF+uSVhOj/SuqD4JDLoYzs6vN3dh37KTQG7A1L2Y5Z8pKaIw91Pzb&#10;14ebd5z5IGwjOrCq5mfl+d327ZvN4NaqhBa6RiEjEuvXg6t5G4JbZ5mXreqFn4FTli41YC8CQTxk&#10;DYqB2PsuK/N8kQ2AjUOQyns6vb9c8m3i11rJ8EVrrwLrak7aQloxrfu4ZtuNWB9QuNbISYb4BxW9&#10;MJYefaG6F0GwI5q/qHojETzoMJPQZ6C1kSp5IDdF/oeb51Y4lbxQON69xOT/H638fNohMw31Ll+W&#10;nFnRU5eeKLefP+zh2AFL5xTT4Pyaqp/dDifkaRs9jxp7hkDZ3pTLPH4pCjLHxpqXRVmtFnPOzjWf&#10;F6vqdj6lrsbAJBUsqqrMl7ecSaooimW+qlJFdmGOLzj04aOCnsVNzZHkpSfE6dEHUkOlv0sIRKUX&#10;bXEXxv2YDJax2fFkD82ZTHsnHwzxPQofdgKp7QVnA41Czf33o0DFWffJUtaroipJXrgGeA3210BY&#10;2QJNmAzI2QV8CGniohML748BtEmqX8VMqqnJycw0kHGKrnGqev1ttr8AAAD//wMAUEsDBBQABgAI&#10;AAAAIQAcWY9d2AAAAAUBAAAPAAAAZHJzL2Rvd25yZXYueG1sTI9LT8QwDITvSPyHyEjcWJeH0LY0&#10;XfE+grqAuHob01YkTtVku4VfT0BIcLHGGmvmc7manVUTj6H3ouF4kYFiabzppdXw/HR3tAQVIokh&#10;64U1fHCAVbW/V1Jh/E5qntaxVSlEQkEauhiHAjE0HTsKCz+wJO/Nj45iWscWzUi7FO4snmTZOTrq&#10;JTV0NPB1x837eus0TAPRzefrvX25rWt8MKeYXz2i1ocH8+UFqMhz/DuGb/yEDlVi2vitmKCshvRI&#10;/JnJW57lOajNr8CqxP/01RcAAAD//wMAUEsBAi0AFAAGAAgAAAAhALaDOJL+AAAA4QEAABMAAAAA&#10;AAAAAAAAAAAAAAAAAFtDb250ZW50X1R5cGVzXS54bWxQSwECLQAUAAYACAAAACEAOP0h/9YAAACU&#10;AQAACwAAAAAAAAAAAAAAAAAvAQAAX3JlbHMvLnJlbHNQSwECLQAUAAYACAAAACEA4cnDT9gBAAB+&#10;AwAADgAAAAAAAAAAAAAAAAAuAgAAZHJzL2Uyb0RvYy54bWxQSwECLQAUAAYACAAAACEAHFmPXdgA&#10;AAAFAQAADwAAAAAAAAAAAAAAAAAyBAAAZHJzL2Rvd25yZXYueG1sUEsFBgAAAAAEAAQA8wAAADcF&#10;AAAAAA==&#10;" filled="f" stroked="f">
              <v:textbox inset="2.53958mm,2.53958mm,2.53958mm,2.53958mm">
                <w:txbxContent>
                  <w:p w:rsidR="004F7046" w:rsidRDefault="00596917">
                    <w:pPr>
                      <w:jc w:val="center"/>
                      <w:textDirection w:val="btLr"/>
                    </w:pPr>
                    <w:r>
                      <w:rPr>
                        <w:rFonts w:ascii="Arial" w:eastAsia="Arial" w:hAnsi="Arial" w:cs="Arial"/>
                        <w:color w:val="C0C0C0"/>
                        <w:sz w:val="144"/>
                      </w:rPr>
                      <w:t>PRELIMINAR</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46" w:rsidRDefault="00596917">
    <w:pPr>
      <w:pBdr>
        <w:top w:val="nil"/>
        <w:left w:val="nil"/>
        <w:bottom w:val="nil"/>
        <w:right w:val="nil"/>
        <w:between w:val="nil"/>
      </w:pBdr>
      <w:tabs>
        <w:tab w:val="center" w:pos="4419"/>
        <w:tab w:val="right" w:pos="8838"/>
      </w:tabs>
      <w:rPr>
        <w:i/>
        <w:color w:val="000000"/>
        <w:szCs w:val="20"/>
      </w:rPr>
    </w:pPr>
    <w:r>
      <w:rPr>
        <w:rFonts w:ascii="Arial" w:eastAsia="Arial" w:hAnsi="Arial" w:cs="Arial"/>
        <w:color w:val="000000"/>
        <w:sz w:val="16"/>
        <w:szCs w:val="16"/>
      </w:rPr>
      <w:t xml:space="preserve">Echegaray V, Cabrera F, </w:t>
    </w:r>
    <w:r w:rsidR="007D581F">
      <w:rPr>
        <w:rFonts w:ascii="Arial" w:eastAsia="Arial" w:hAnsi="Arial" w:cs="Arial"/>
        <w:color w:val="000000"/>
        <w:sz w:val="16"/>
        <w:szCs w:val="16"/>
      </w:rPr>
      <w:t>Gutiérrez</w:t>
    </w:r>
    <w:r>
      <w:rPr>
        <w:rFonts w:ascii="Arial" w:eastAsia="Arial" w:hAnsi="Arial" w:cs="Arial"/>
        <w:color w:val="000000"/>
        <w:sz w:val="16"/>
        <w:szCs w:val="16"/>
      </w:rPr>
      <w:t xml:space="preserve"> Magaldi I. </w:t>
    </w:r>
    <w:r>
      <w:rPr>
        <w:rFonts w:ascii="Arial" w:eastAsia="Arial" w:hAnsi="Arial" w:cs="Arial"/>
        <w:i/>
        <w:color w:val="000000"/>
        <w:sz w:val="16"/>
        <w:szCs w:val="16"/>
      </w:rPr>
      <w:t>Evaluación de escalas pronósticas para pacientes hospitalizados por infección por SARS-CoV-2 en una clínica privada de Córdoba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46" w:rsidRDefault="00596917">
    <w:pPr>
      <w:pBdr>
        <w:top w:val="nil"/>
        <w:left w:val="nil"/>
        <w:bottom w:val="nil"/>
        <w:right w:val="nil"/>
        <w:between w:val="nil"/>
      </w:pBdr>
      <w:tabs>
        <w:tab w:val="center" w:pos="4419"/>
        <w:tab w:val="right" w:pos="8838"/>
      </w:tabs>
      <w:rPr>
        <w:i/>
        <w:color w:val="000000"/>
        <w:szCs w:val="20"/>
      </w:rPr>
    </w:pPr>
    <w:r>
      <w:rPr>
        <w:noProof/>
        <w:color w:val="000000"/>
        <w:szCs w:val="20"/>
      </w:rPr>
      <mc:AlternateContent>
        <mc:Choice Requires="wps">
          <w:drawing>
            <wp:anchor distT="0" distB="0" distL="0" distR="0" simplePos="0" relativeHeight="251655680" behindDoc="1" locked="0" layoutInCell="1" hidden="0" allowOverlap="1">
              <wp:simplePos x="0" y="0"/>
              <wp:positionH relativeFrom="margin">
                <wp:align>center</wp:align>
              </wp:positionH>
              <wp:positionV relativeFrom="margin">
                <wp:align>center</wp:align>
              </wp:positionV>
              <wp:extent cx="5396685" cy="5396685"/>
              <wp:effectExtent l="0" t="0" r="0" b="0"/>
              <wp:wrapNone/>
              <wp:docPr id="1066" name="Rectángulo 1066"/>
              <wp:cNvGraphicFramePr/>
              <a:graphic xmlns:a="http://schemas.openxmlformats.org/drawingml/2006/main">
                <a:graphicData uri="http://schemas.microsoft.com/office/word/2010/wordprocessingShape">
                  <wps:wsp>
                    <wps:cNvSpPr/>
                    <wps:spPr>
                      <a:xfrm rot="-2700000">
                        <a:off x="2124963" y="3194530"/>
                        <a:ext cx="6442075" cy="1170940"/>
                      </a:xfrm>
                      <a:prstGeom prst="rect">
                        <a:avLst/>
                      </a:prstGeom>
                    </wps:spPr>
                    <wps:txbx>
                      <w:txbxContent>
                        <w:p w:rsidR="004F7046" w:rsidRDefault="00596917">
                          <w:pPr>
                            <w:jc w:val="center"/>
                            <w:textDirection w:val="btLr"/>
                          </w:pPr>
                          <w:r>
                            <w:rPr>
                              <w:rFonts w:ascii="Arial" w:eastAsia="Arial" w:hAnsi="Arial" w:cs="Arial"/>
                              <w:color w:val="C0C0C0"/>
                              <w:sz w:val="144"/>
                            </w:rPr>
                            <w:t>PRELIMINAR</w:t>
                          </w:r>
                        </w:p>
                      </w:txbxContent>
                    </wps:txbx>
                    <wps:bodyPr spcFirstLastPara="1" wrap="square" lIns="91425" tIns="91425" rIns="91425" bIns="91425" anchor="ctr" anchorCtr="0">
                      <a:noAutofit/>
                    </wps:bodyPr>
                  </wps:wsp>
                </a:graphicData>
              </a:graphic>
            </wp:anchor>
          </w:drawing>
        </mc:Choice>
        <mc:Fallback>
          <w:pict>
            <v:rect id="Rectángulo 1066" o:spid="_x0000_s1042" style="position:absolute;left:0;text-align:left;margin-left:0;margin-top:0;width:424.95pt;height:424.95pt;rotation:-45;z-index:-25166080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X2AEAAH4DAAAOAAAAZHJzL2Uyb0RvYy54bWysU1tu2zAQ/C/QOxD8j/WwIteC5aBokKJA&#10;0BpJewCaIi0C4qNL2pKP07P0Yl3SamK0f0X1QXDIxXBmdrW5m/RATgK8sqalxSKnRBhuO2UOLf32&#10;9eHmHSU+MNOxwRrR0rPw9G779s1mdI0obW+HTgBBEuOb0bW0D8E1WeZ5LzTzC+uEwUtpQbOAEA5Z&#10;B2xEdj1kZZ7X2Wihc2C58B5P7y+XdJv4pRQ8fJHSi0CGlqK2kFZI6z6u2XbDmgMw1ys+y2D/oEIz&#10;ZfDRF6p7Fhg5gvqLSisO1lsZFtzqzEqpuEge0E2R/+HmuWdOJC8YjncvMfn/R8s/n3ZAVIe9y+ua&#10;EsM0dukJc/v5wxyOgyXpHGManW+w+tntYEYet9HzJEETsJjtTbnK45eiQHNkamlZlNW6XlJybumy&#10;WFe3yzl1MQXCsaCuqjJf3VLCsaIoVvm6ShXZhTm+4MCHj8JqEjctBZSXnmCnRx9QDZb+LkEQlV60&#10;xV2Y9lMyuIzNjid7253RtHf8QSHfI/NhxwDbXlAy4ii01H8/MhCUDJ8MZr0uqhLlhWsA12B/DZjh&#10;vcUJ4wEouYAPIU1cdGLs+2OwUiXVr2Jm1djkZGYeyDhF1zhVvf42218AAAD//wMAUEsDBBQABgAI&#10;AAAAIQAcWY9d2AAAAAUBAAAPAAAAZHJzL2Rvd25yZXYueG1sTI9LT8QwDITvSPyHyEjcWJeH0LY0&#10;XfE+grqAuHob01YkTtVku4VfT0BIcLHGGmvmc7manVUTj6H3ouF4kYFiabzppdXw/HR3tAQVIokh&#10;64U1fHCAVbW/V1Jh/E5qntaxVSlEQkEauhiHAjE0HTsKCz+wJO/Nj45iWscWzUi7FO4snmTZOTrq&#10;JTV0NPB1x837eus0TAPRzefrvX25rWt8MKeYXz2i1ocH8+UFqMhz/DuGb/yEDlVi2vitmKCshvRI&#10;/JnJW57lOajNr8CqxP/01RcAAAD//wMAUEsBAi0AFAAGAAgAAAAhALaDOJL+AAAA4QEAABMAAAAA&#10;AAAAAAAAAAAAAAAAAFtDb250ZW50X1R5cGVzXS54bWxQSwECLQAUAAYACAAAACEAOP0h/9YAAACU&#10;AQAACwAAAAAAAAAAAAAAAAAvAQAAX3JlbHMvLnJlbHNQSwECLQAUAAYACAAAACEAIRKv19gBAAB+&#10;AwAADgAAAAAAAAAAAAAAAAAuAgAAZHJzL2Uyb0RvYy54bWxQSwECLQAUAAYACAAAACEAHFmPXdgA&#10;AAAFAQAADwAAAAAAAAAAAAAAAAAyBAAAZHJzL2Rvd25yZXYueG1sUEsFBgAAAAAEAAQA8wAAADcF&#10;AAAAAA==&#10;" filled="f" stroked="f">
              <v:textbox inset="2.53958mm,2.53958mm,2.53958mm,2.53958mm">
                <w:txbxContent>
                  <w:p w:rsidR="004F7046" w:rsidRDefault="00596917">
                    <w:pPr>
                      <w:jc w:val="center"/>
                      <w:textDirection w:val="btLr"/>
                    </w:pPr>
                    <w:r>
                      <w:rPr>
                        <w:rFonts w:ascii="Arial" w:eastAsia="Arial" w:hAnsi="Arial" w:cs="Arial"/>
                        <w:color w:val="C0C0C0"/>
                        <w:sz w:val="144"/>
                      </w:rPr>
                      <w:t>PRELIMINAR</w:t>
                    </w:r>
                  </w:p>
                </w:txbxContent>
              </v:textbox>
              <w10:wrap anchorx="margin" anchory="margin"/>
            </v:rect>
          </w:pict>
        </mc:Fallback>
      </mc:AlternateContent>
    </w:r>
    <w:proofErr w:type="spellStart"/>
    <w:r>
      <w:rPr>
        <w:rFonts w:ascii="Arial" w:eastAsia="Arial" w:hAnsi="Arial" w:cs="Arial"/>
        <w:color w:val="000000"/>
        <w:sz w:val="16"/>
        <w:szCs w:val="16"/>
      </w:rPr>
      <w:t>Brain</w:t>
    </w:r>
    <w:proofErr w:type="spellEnd"/>
    <w:r>
      <w:rPr>
        <w:rFonts w:ascii="Arial" w:eastAsia="Arial" w:hAnsi="Arial" w:cs="Arial"/>
        <w:color w:val="000000"/>
        <w:sz w:val="16"/>
        <w:szCs w:val="16"/>
      </w:rPr>
      <w:t xml:space="preserve"> Lascano L., </w:t>
    </w:r>
    <w:proofErr w:type="spellStart"/>
    <w:r>
      <w:rPr>
        <w:rFonts w:ascii="Arial" w:eastAsia="Arial" w:hAnsi="Arial" w:cs="Arial"/>
        <w:color w:val="000000"/>
        <w:sz w:val="16"/>
        <w:szCs w:val="16"/>
      </w:rPr>
      <w:t>Brain</w:t>
    </w:r>
    <w:proofErr w:type="spellEnd"/>
    <w:r>
      <w:rPr>
        <w:rFonts w:ascii="Arial" w:eastAsia="Arial" w:hAnsi="Arial" w:cs="Arial"/>
        <w:color w:val="000000"/>
        <w:sz w:val="16"/>
        <w:szCs w:val="16"/>
      </w:rPr>
      <w:t xml:space="preserve"> R., </w:t>
    </w:r>
    <w:proofErr w:type="spellStart"/>
    <w:r>
      <w:rPr>
        <w:rFonts w:ascii="Arial" w:eastAsia="Arial" w:hAnsi="Arial" w:cs="Arial"/>
        <w:color w:val="000000"/>
        <w:sz w:val="16"/>
        <w:szCs w:val="16"/>
      </w:rPr>
      <w:t>Sársfield</w:t>
    </w:r>
    <w:proofErr w:type="spellEnd"/>
    <w:r>
      <w:rPr>
        <w:rFonts w:ascii="Arial" w:eastAsia="Arial" w:hAnsi="Arial" w:cs="Arial"/>
        <w:color w:val="000000"/>
        <w:sz w:val="16"/>
        <w:szCs w:val="16"/>
      </w:rPr>
      <w:t xml:space="preserve"> M. </w:t>
    </w:r>
    <w:r>
      <w:rPr>
        <w:rFonts w:ascii="Arial" w:eastAsia="Arial" w:hAnsi="Arial" w:cs="Arial"/>
        <w:i/>
        <w:color w:val="000000"/>
        <w:sz w:val="16"/>
        <w:szCs w:val="16"/>
      </w:rPr>
      <w:t>Síndrome de Jacobsen: Abordaje y tratamiento Integrativo Interdisciplinario y longitudinal.  Reporte de un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46"/>
    <w:rsid w:val="003D558C"/>
    <w:rsid w:val="00490931"/>
    <w:rsid w:val="004B3E95"/>
    <w:rsid w:val="004F7046"/>
    <w:rsid w:val="00510524"/>
    <w:rsid w:val="005226BC"/>
    <w:rsid w:val="00596917"/>
    <w:rsid w:val="005F1EBB"/>
    <w:rsid w:val="006041E4"/>
    <w:rsid w:val="0075655E"/>
    <w:rsid w:val="007D581F"/>
    <w:rsid w:val="007F4404"/>
    <w:rsid w:val="00852BC5"/>
    <w:rsid w:val="008B5940"/>
    <w:rsid w:val="00910A77"/>
    <w:rsid w:val="00AB715C"/>
    <w:rsid w:val="00CE5DC6"/>
    <w:rsid w:val="00F5697C"/>
    <w:rsid w:val="00FA5F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D2E48"/>
  <w15:docId w15:val="{D94093B0-68B9-487B-A092-BD3C052C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2D2A97"/>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character" w:styleId="Mencinsinresolver">
    <w:name w:val="Unresolved Mention"/>
    <w:basedOn w:val="Fuentedeprrafopredeter"/>
    <w:uiPriority w:val="99"/>
    <w:semiHidden/>
    <w:unhideWhenUsed/>
    <w:rsid w:val="00D50EEF"/>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10.jpeg"/><Relationship Id="rId7" Type="http://schemas.openxmlformats.org/officeDocument/2006/relationships/hyperlink" Target="https://doi.org/10.22529/me.2025.10(3)03" TargetMode="External"/><Relationship Id="rId12" Type="http://schemas.openxmlformats.org/officeDocument/2006/relationships/header" Target="header3.xml"/><Relationship Id="rId17" Type="http://schemas.openxmlformats.org/officeDocument/2006/relationships/hyperlink" Target="https://orcid.org/0009-0009-7345-5894" TargetMode="External"/><Relationship Id="rId25" Type="http://schemas.openxmlformats.org/officeDocument/2006/relationships/image" Target="media/image7.png"/><Relationship Id="rId33" Type="http://schemas.openxmlformats.org/officeDocument/2006/relationships/image" Target="media/image9.jpg"/><Relationship Id="rId2" Type="http://schemas.openxmlformats.org/officeDocument/2006/relationships/styles" Target="styles.xml"/><Relationship Id="rId16" Type="http://schemas.openxmlformats.org/officeDocument/2006/relationships/hyperlink" Target="https://orcid.org/0000-0002-9601-9835" TargetMode="External"/><Relationship Id="rId20" Type="http://schemas.openxmlformats.org/officeDocument/2006/relationships/header" Target="header6.xml"/><Relationship Id="rId29" Type="http://schemas.openxmlformats.org/officeDocument/2006/relationships/hyperlink" Target="https://doi.org/10.1186/s13049-020-00764-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yperlink" Target="https://medlineplus.gov/spanish/ency/article/007196.htm"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hyperlink" Target="https://doi.org/10.1093/cid/ciaa414"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s://doi.org/10.1016/0021-9681(87)90171-8"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4-2987-0154" TargetMode="External"/><Relationship Id="rId22" Type="http://schemas.openxmlformats.org/officeDocument/2006/relationships/image" Target="media/image4.png"/><Relationship Id="rId27" Type="http://schemas.openxmlformats.org/officeDocument/2006/relationships/hyperlink" Target="https://doi.org/10.1136/bmj.m1328" TargetMode="External"/><Relationship Id="rId30" Type="http://schemas.openxmlformats.org/officeDocument/2006/relationships/hyperlink" Target="https://doi.org/10.1016/j.medine.2021.11.023"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ttkU1fJzG/jd/FjlNdqjCavlv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FAoBNhIPCg0IB0IJEgdHdW5nc3VoMgloLjMwajB6bGwyDmgubDJrZmczb2pmNWp2OAByITFSUEI3c2U5em9md0dLYWlDdkZPaW5tM0JVaVpHeFBN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4588</Words>
  <Characters>25239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7</cp:revision>
  <dcterms:created xsi:type="dcterms:W3CDTF">2025-06-19T14:26:00Z</dcterms:created>
  <dcterms:modified xsi:type="dcterms:W3CDTF">2025-06-24T13:44:00Z</dcterms:modified>
</cp:coreProperties>
</file>